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pStyle w:val="6"/>
        <w:widowControl/>
        <w:snapToGrid w:val="0"/>
        <w:spacing w:line="240" w:lineRule="atLeast"/>
      </w:pPr>
      <w:bookmarkStart w:id="0" w:name="_GoBack"/>
      <w:r>
        <w:rPr>
          <w:rFonts w:hint="eastAsia"/>
        </w:rPr>
        <w:t>2025年度</w:t>
      </w:r>
      <w:r>
        <w:t>南京市公安局浦口分局</w:t>
      </w:r>
    </w:p>
    <w:p>
      <w:pPr>
        <w:pStyle w:val="6"/>
        <w:widowControl/>
        <w:snapToGrid w:val="0"/>
        <w:spacing w:line="240" w:lineRule="atLeast"/>
      </w:pPr>
      <w:r>
        <w:rPr>
          <w:rFonts w:hint="eastAsia"/>
        </w:rPr>
        <w:t>部门</w:t>
      </w:r>
      <w:r>
        <w:t>整体绩效评价报告</w:t>
      </w:r>
    </w:p>
    <w:p>
      <w:pPr>
        <w:widowControl/>
        <w:spacing w:line="600" w:lineRule="exact"/>
        <w:rPr>
          <w:rFonts w:eastAsia="方正黑体_GBK"/>
          <w:kern w:val="0"/>
          <w:sz w:val="32"/>
          <w:szCs w:val="32"/>
        </w:rPr>
      </w:pPr>
      <w:r>
        <w:rPr>
          <w:rFonts w:eastAsia="方正黑体_GBK"/>
          <w:kern w:val="0"/>
          <w:sz w:val="32"/>
          <w:szCs w:val="32"/>
        </w:rPr>
        <w:t>一、部门</w:t>
      </w:r>
      <w:r>
        <w:rPr>
          <w:rFonts w:eastAsia="方正黑体_GBK"/>
          <w:sz w:val="32"/>
          <w:szCs w:val="32"/>
        </w:rPr>
        <w:t>概况</w:t>
      </w:r>
    </w:p>
    <w:p>
      <w:pPr>
        <w:spacing w:line="600" w:lineRule="exact"/>
        <w:ind w:firstLine="640" w:firstLineChars="200"/>
        <w:rPr>
          <w:rFonts w:ascii="方正楷体_GBK" w:hAnsi="方正楷体_GBK" w:eastAsia="方正楷体_GBK" w:cs="方正楷体_GBK"/>
          <w:sz w:val="32"/>
          <w:szCs w:val="32"/>
        </w:rPr>
      </w:pPr>
      <w:r>
        <w:rPr>
          <w:rFonts w:hint="eastAsia" w:ascii="方正楷体_GBK" w:hAnsi="方正楷体_GBK" w:eastAsia="方正楷体_GBK" w:cs="方正楷体_GBK"/>
          <w:kern w:val="0"/>
          <w:sz w:val="32"/>
          <w:szCs w:val="32"/>
        </w:rPr>
        <w:t>（一）部门基本情况</w:t>
      </w:r>
    </w:p>
    <w:p>
      <w:pPr>
        <w:spacing w:line="560" w:lineRule="exact"/>
        <w:ind w:firstLine="640" w:firstLineChars="200"/>
        <w:rPr>
          <w:rFonts w:eastAsia="方正楷体_GBK"/>
          <w:sz w:val="32"/>
          <w:szCs w:val="32"/>
        </w:rPr>
      </w:pPr>
      <w:r>
        <w:rPr>
          <w:rFonts w:hint="eastAsia" w:eastAsia="方正楷体_GBK"/>
          <w:sz w:val="32"/>
          <w:szCs w:val="32"/>
        </w:rPr>
        <w:t>1</w:t>
      </w:r>
      <w:r>
        <w:rPr>
          <w:rFonts w:eastAsia="方正楷体_GBK"/>
          <w:sz w:val="32"/>
          <w:szCs w:val="32"/>
        </w:rPr>
        <w:t>、部门主要职能</w:t>
      </w:r>
    </w:p>
    <w:p>
      <w:pPr>
        <w:spacing w:line="600" w:lineRule="exact"/>
        <w:ind w:firstLine="640" w:firstLineChars="200"/>
        <w:rPr>
          <w:rFonts w:eastAsia="方正仿宋_GBK"/>
          <w:color w:val="000000"/>
          <w:sz w:val="32"/>
          <w:szCs w:val="32"/>
        </w:rPr>
      </w:pPr>
      <w:r>
        <w:rPr>
          <w:rFonts w:eastAsia="方正仿宋_GBK"/>
          <w:color w:val="000000"/>
          <w:sz w:val="32"/>
          <w:szCs w:val="32"/>
        </w:rPr>
        <w:t>（</w:t>
      </w:r>
      <w:r>
        <w:rPr>
          <w:rFonts w:hint="eastAsia" w:eastAsia="方正仿宋_GBK"/>
          <w:color w:val="000000"/>
          <w:sz w:val="32"/>
          <w:szCs w:val="32"/>
        </w:rPr>
        <w:t>1</w:t>
      </w:r>
      <w:r>
        <w:rPr>
          <w:rFonts w:eastAsia="方正仿宋_GBK"/>
          <w:color w:val="000000"/>
          <w:sz w:val="32"/>
          <w:szCs w:val="32"/>
        </w:rPr>
        <w:t xml:space="preserve">）贯彻执行党和国家有关公安工作的方针、政策和法律、法规；统一领导、指挥全区公安工作。 </w:t>
      </w:r>
    </w:p>
    <w:p>
      <w:pPr>
        <w:spacing w:line="600" w:lineRule="exact"/>
        <w:ind w:firstLine="640" w:firstLineChars="200"/>
        <w:rPr>
          <w:rFonts w:eastAsia="方正仿宋_GBK"/>
          <w:color w:val="000000"/>
          <w:sz w:val="32"/>
          <w:szCs w:val="32"/>
        </w:rPr>
      </w:pPr>
      <w:r>
        <w:rPr>
          <w:rFonts w:eastAsia="方正仿宋_GBK"/>
          <w:color w:val="000000"/>
          <w:sz w:val="32"/>
          <w:szCs w:val="32"/>
        </w:rPr>
        <w:t>（2）掌握影响稳定、危害国内安全和社会治安的情况，向市公安局</w:t>
      </w:r>
      <w:r>
        <w:rPr>
          <w:rFonts w:hint="eastAsia" w:eastAsia="方正仿宋_GBK"/>
          <w:color w:val="000000"/>
          <w:sz w:val="32"/>
          <w:szCs w:val="32"/>
        </w:rPr>
        <w:t>和区</w:t>
      </w:r>
      <w:r>
        <w:rPr>
          <w:rFonts w:eastAsia="方正仿宋_GBK"/>
          <w:color w:val="000000"/>
          <w:sz w:val="32"/>
          <w:szCs w:val="32"/>
        </w:rPr>
        <w:t>委、</w:t>
      </w:r>
      <w:r>
        <w:rPr>
          <w:rFonts w:hint="eastAsia" w:eastAsia="方正仿宋_GBK"/>
          <w:color w:val="000000"/>
          <w:sz w:val="32"/>
          <w:szCs w:val="32"/>
        </w:rPr>
        <w:t>区</w:t>
      </w:r>
      <w:r>
        <w:rPr>
          <w:rFonts w:eastAsia="方正仿宋_GBK"/>
          <w:color w:val="000000"/>
          <w:sz w:val="32"/>
          <w:szCs w:val="32"/>
        </w:rPr>
        <w:t>政府及时提供相关重要信息，分析、研究对策并组织实施。</w:t>
      </w:r>
    </w:p>
    <w:p>
      <w:pPr>
        <w:spacing w:line="600" w:lineRule="exact"/>
        <w:ind w:firstLine="640" w:firstLineChars="200"/>
        <w:rPr>
          <w:rFonts w:eastAsia="方正仿宋_GBK"/>
          <w:color w:val="000000"/>
          <w:sz w:val="32"/>
          <w:szCs w:val="32"/>
        </w:rPr>
      </w:pPr>
      <w:r>
        <w:rPr>
          <w:rFonts w:eastAsia="方正仿宋_GBK"/>
          <w:color w:val="000000"/>
          <w:sz w:val="32"/>
          <w:szCs w:val="32"/>
        </w:rPr>
        <w:t>（3）负责公安民警队伍的管理、教育和训练工作。</w:t>
      </w:r>
    </w:p>
    <w:p>
      <w:pPr>
        <w:spacing w:line="600" w:lineRule="exact"/>
        <w:ind w:firstLine="640" w:firstLineChars="200"/>
        <w:rPr>
          <w:rFonts w:eastAsia="方正仿宋_GBK"/>
          <w:color w:val="000000"/>
          <w:sz w:val="32"/>
          <w:szCs w:val="32"/>
        </w:rPr>
      </w:pPr>
      <w:r>
        <w:rPr>
          <w:rFonts w:eastAsia="方正仿宋_GBK"/>
          <w:color w:val="000000"/>
          <w:sz w:val="32"/>
          <w:szCs w:val="32"/>
        </w:rPr>
        <w:t>（4）受理公民报警求助</w:t>
      </w:r>
      <w:r>
        <w:rPr>
          <w:rFonts w:hint="eastAsia" w:eastAsia="方正仿宋_GBK"/>
          <w:color w:val="000000"/>
          <w:sz w:val="32"/>
          <w:szCs w:val="32"/>
        </w:rPr>
        <w:t>；</w:t>
      </w:r>
      <w:r>
        <w:rPr>
          <w:rFonts w:eastAsia="方正仿宋_GBK"/>
          <w:color w:val="000000"/>
          <w:sz w:val="32"/>
          <w:szCs w:val="32"/>
        </w:rPr>
        <w:t>依法预防、制止和侦查违法犯罪活动；处置重大案件、治安事故和骚乱，预防、打击恐怖活动。</w:t>
      </w:r>
    </w:p>
    <w:p>
      <w:pPr>
        <w:spacing w:line="600" w:lineRule="exact"/>
        <w:ind w:firstLine="640" w:firstLineChars="200"/>
        <w:rPr>
          <w:rFonts w:eastAsia="方正仿宋_GBK"/>
          <w:color w:val="000000"/>
          <w:sz w:val="32"/>
          <w:szCs w:val="32"/>
        </w:rPr>
      </w:pPr>
      <w:r>
        <w:rPr>
          <w:rFonts w:eastAsia="方正仿宋_GBK"/>
          <w:color w:val="000000"/>
          <w:sz w:val="32"/>
          <w:szCs w:val="32"/>
        </w:rPr>
        <w:t>（5）依法查处危害社会治安秩序行为；积极预防、妥善处置突发性事件、群体性事件，维护社会稳定；依法管理集会、游行、示威活动；依法管理户籍、居民身份证、枪</w:t>
      </w:r>
      <w:r>
        <w:rPr>
          <w:rFonts w:hint="eastAsia" w:eastAsia="方正仿宋_GBK"/>
          <w:color w:val="000000"/>
          <w:sz w:val="32"/>
          <w:szCs w:val="32"/>
        </w:rPr>
        <w:t>支</w:t>
      </w:r>
      <w:r>
        <w:rPr>
          <w:rFonts w:eastAsia="方正仿宋_GBK"/>
          <w:color w:val="000000"/>
          <w:sz w:val="32"/>
          <w:szCs w:val="32"/>
        </w:rPr>
        <w:t>弹药、危险物品和特种行业等工作。</w:t>
      </w:r>
    </w:p>
    <w:p>
      <w:pPr>
        <w:spacing w:line="600" w:lineRule="exact"/>
        <w:ind w:firstLine="640" w:firstLineChars="200"/>
        <w:rPr>
          <w:rFonts w:eastAsia="方正仿宋_GBK"/>
          <w:color w:val="000000"/>
          <w:sz w:val="32"/>
          <w:szCs w:val="32"/>
        </w:rPr>
      </w:pPr>
      <w:r>
        <w:rPr>
          <w:rFonts w:eastAsia="方正仿宋_GBK"/>
          <w:color w:val="000000"/>
          <w:sz w:val="32"/>
          <w:szCs w:val="32"/>
        </w:rPr>
        <w:t>（6）负责由公安机关依法承担的执行刑罚工作。</w:t>
      </w:r>
    </w:p>
    <w:p>
      <w:pPr>
        <w:spacing w:line="600" w:lineRule="exact"/>
        <w:ind w:firstLine="640" w:firstLineChars="200"/>
        <w:rPr>
          <w:rFonts w:eastAsia="方正仿宋_GBK"/>
          <w:color w:val="000000"/>
          <w:sz w:val="32"/>
          <w:szCs w:val="32"/>
        </w:rPr>
      </w:pPr>
      <w:r>
        <w:rPr>
          <w:rFonts w:eastAsia="方正仿宋_GBK"/>
          <w:color w:val="000000"/>
          <w:sz w:val="32"/>
          <w:szCs w:val="32"/>
        </w:rPr>
        <w:t>（7）负责全区道路交通安全管理、维护交通秩序，承担车辆、驾驶员交通安全管理工作。</w:t>
      </w:r>
    </w:p>
    <w:p>
      <w:pPr>
        <w:spacing w:line="600" w:lineRule="exact"/>
        <w:ind w:firstLine="640" w:firstLineChars="200"/>
        <w:rPr>
          <w:rFonts w:eastAsia="方正仿宋_GBK"/>
          <w:color w:val="000000"/>
          <w:sz w:val="32"/>
          <w:szCs w:val="32"/>
        </w:rPr>
      </w:pPr>
      <w:r>
        <w:rPr>
          <w:rFonts w:eastAsia="方正仿宋_GBK"/>
          <w:color w:val="000000"/>
          <w:sz w:val="32"/>
          <w:szCs w:val="32"/>
        </w:rPr>
        <w:t>（8）依法管理出境入境事务和外国人在我区居留、旅行有关事务。</w:t>
      </w:r>
    </w:p>
    <w:p>
      <w:pPr>
        <w:spacing w:line="600" w:lineRule="exact"/>
        <w:ind w:firstLine="640" w:firstLineChars="200"/>
        <w:rPr>
          <w:rFonts w:eastAsia="方正仿宋_GBK"/>
          <w:color w:val="000000"/>
          <w:sz w:val="32"/>
          <w:szCs w:val="32"/>
        </w:rPr>
      </w:pPr>
      <w:r>
        <w:rPr>
          <w:rFonts w:eastAsia="方正仿宋_GBK"/>
          <w:color w:val="000000"/>
          <w:sz w:val="32"/>
          <w:szCs w:val="32"/>
        </w:rPr>
        <w:t xml:space="preserve">（9）负责全区公共信息网络安全监察工作。 </w:t>
      </w:r>
    </w:p>
    <w:p>
      <w:pPr>
        <w:spacing w:line="600" w:lineRule="exact"/>
        <w:ind w:firstLine="640" w:firstLineChars="200"/>
        <w:rPr>
          <w:rFonts w:eastAsia="方正仿宋_GBK"/>
          <w:color w:val="000000"/>
          <w:sz w:val="32"/>
          <w:szCs w:val="32"/>
        </w:rPr>
      </w:pPr>
      <w:r>
        <w:rPr>
          <w:rFonts w:eastAsia="方正仿宋_GBK"/>
          <w:color w:val="000000"/>
          <w:sz w:val="32"/>
          <w:szCs w:val="32"/>
        </w:rPr>
        <w:t>（10）负责来我区党和国家领导人、重要外宾的安全警卫工作及其他重要警卫任务的组织协调。</w:t>
      </w:r>
    </w:p>
    <w:p>
      <w:pPr>
        <w:spacing w:line="600" w:lineRule="exact"/>
        <w:ind w:firstLine="640" w:firstLineChars="200"/>
        <w:rPr>
          <w:rFonts w:eastAsia="方正仿宋_GBK"/>
          <w:color w:val="000000"/>
          <w:sz w:val="32"/>
          <w:szCs w:val="32"/>
        </w:rPr>
      </w:pPr>
      <w:r>
        <w:rPr>
          <w:rFonts w:eastAsia="方正仿宋_GBK"/>
          <w:color w:val="000000"/>
          <w:sz w:val="32"/>
          <w:szCs w:val="32"/>
        </w:rPr>
        <w:t>（11）组织实施全区公安科学技术工作；制订公安信息技术、刑事技术、行动技术等建设规划并组织实施。</w:t>
      </w:r>
    </w:p>
    <w:p>
      <w:pPr>
        <w:spacing w:line="600" w:lineRule="exact"/>
        <w:ind w:firstLine="640" w:firstLineChars="200"/>
        <w:rPr>
          <w:rFonts w:eastAsia="方正仿宋_GBK"/>
          <w:color w:val="000000"/>
          <w:sz w:val="32"/>
          <w:szCs w:val="32"/>
        </w:rPr>
      </w:pPr>
      <w:r>
        <w:rPr>
          <w:rFonts w:eastAsia="方正仿宋_GBK"/>
          <w:color w:val="000000"/>
          <w:sz w:val="32"/>
          <w:szCs w:val="32"/>
        </w:rPr>
        <w:t>（12）指导、监督全区国家机关、社会团体、企事业单位和重点建设工程的治安保卫工作以及群众性治安保卫组织的治安防范工作。</w:t>
      </w:r>
    </w:p>
    <w:p>
      <w:pPr>
        <w:spacing w:line="600" w:lineRule="exact"/>
        <w:ind w:firstLine="640" w:firstLineChars="200"/>
        <w:rPr>
          <w:rFonts w:eastAsia="方正仿宋_GBK"/>
          <w:color w:val="000000"/>
          <w:sz w:val="32"/>
          <w:szCs w:val="32"/>
        </w:rPr>
      </w:pPr>
      <w:r>
        <w:rPr>
          <w:rFonts w:eastAsia="方正仿宋_GBK"/>
          <w:color w:val="000000"/>
          <w:sz w:val="32"/>
          <w:szCs w:val="32"/>
        </w:rPr>
        <w:t>（13）组织开展公安警务督察工作；指导、检查、监督全区公安机关及人民警察的执法活动。</w:t>
      </w:r>
    </w:p>
    <w:p>
      <w:pPr>
        <w:spacing w:line="600" w:lineRule="exact"/>
        <w:ind w:firstLine="640" w:firstLineChars="200"/>
        <w:rPr>
          <w:rFonts w:eastAsia="方正仿宋_GBK"/>
          <w:color w:val="000000"/>
          <w:sz w:val="32"/>
          <w:szCs w:val="32"/>
        </w:rPr>
      </w:pPr>
      <w:r>
        <w:rPr>
          <w:rFonts w:eastAsia="方正仿宋_GBK"/>
          <w:color w:val="000000"/>
          <w:sz w:val="32"/>
          <w:szCs w:val="32"/>
        </w:rPr>
        <w:t>（14）负责全区公安机关装备、被装配备和专项经费管理等警务保障工作。</w:t>
      </w:r>
    </w:p>
    <w:p>
      <w:pPr>
        <w:spacing w:line="600" w:lineRule="exact"/>
        <w:ind w:firstLine="640" w:firstLineChars="200"/>
        <w:rPr>
          <w:rFonts w:eastAsia="方正仿宋_GBK"/>
          <w:color w:val="000000"/>
          <w:sz w:val="32"/>
          <w:szCs w:val="32"/>
        </w:rPr>
      </w:pPr>
      <w:r>
        <w:rPr>
          <w:rFonts w:eastAsia="方正仿宋_GBK"/>
          <w:color w:val="000000"/>
          <w:sz w:val="32"/>
          <w:szCs w:val="32"/>
        </w:rPr>
        <w:t>（15）领导全区消防部队建设，组织实施消防工作；对武警中队执行公安任务及相关业务建设实施领导和指挥。</w:t>
      </w:r>
    </w:p>
    <w:p>
      <w:pPr>
        <w:spacing w:line="600" w:lineRule="exact"/>
        <w:ind w:firstLine="640" w:firstLineChars="200"/>
        <w:rPr>
          <w:rFonts w:eastAsia="方正仿宋_GBK"/>
          <w:color w:val="000000"/>
          <w:sz w:val="32"/>
          <w:szCs w:val="32"/>
        </w:rPr>
      </w:pPr>
      <w:r>
        <w:rPr>
          <w:rFonts w:eastAsia="方正仿宋_GBK"/>
          <w:color w:val="000000"/>
          <w:sz w:val="32"/>
          <w:szCs w:val="32"/>
        </w:rPr>
        <w:t>（16）承办</w:t>
      </w:r>
      <w:r>
        <w:rPr>
          <w:rFonts w:hint="eastAsia" w:eastAsia="方正仿宋_GBK"/>
          <w:color w:val="000000"/>
          <w:sz w:val="32"/>
          <w:szCs w:val="32"/>
        </w:rPr>
        <w:t>市公安局和区</w:t>
      </w:r>
      <w:r>
        <w:rPr>
          <w:rFonts w:eastAsia="方正仿宋_GBK"/>
          <w:color w:val="000000"/>
          <w:sz w:val="32"/>
          <w:szCs w:val="32"/>
        </w:rPr>
        <w:t>委、</w:t>
      </w:r>
      <w:r>
        <w:rPr>
          <w:rFonts w:hint="eastAsia" w:eastAsia="方正仿宋_GBK"/>
          <w:color w:val="000000"/>
          <w:sz w:val="32"/>
          <w:szCs w:val="32"/>
        </w:rPr>
        <w:t>区</w:t>
      </w:r>
      <w:r>
        <w:rPr>
          <w:rFonts w:eastAsia="方正仿宋_GBK"/>
          <w:color w:val="000000"/>
          <w:sz w:val="32"/>
          <w:szCs w:val="32"/>
        </w:rPr>
        <w:t>政府交办的其他事项。</w:t>
      </w:r>
    </w:p>
    <w:p>
      <w:pPr>
        <w:pStyle w:val="4"/>
        <w:spacing w:line="560" w:lineRule="exact"/>
        <w:ind w:firstLine="640" w:firstLineChars="200"/>
        <w:rPr>
          <w:rFonts w:ascii="方正楷体_GBK" w:hAnsi="Calibri" w:eastAsia="方正楷体_GBK"/>
        </w:rPr>
      </w:pPr>
      <w:r>
        <w:rPr>
          <w:rFonts w:hint="eastAsia" w:ascii="方正楷体_GBK" w:hAnsi="Calibri" w:eastAsia="方正楷体_GBK"/>
        </w:rPr>
        <w:t>2、人员及内设机构等情况</w:t>
      </w:r>
    </w:p>
    <w:p>
      <w:pPr>
        <w:pStyle w:val="4"/>
        <w:spacing w:line="600" w:lineRule="exact"/>
        <w:ind w:firstLine="640" w:firstLineChars="200"/>
        <w:rPr>
          <w:rFonts w:ascii="仿宋" w:hAnsi="仿宋" w:eastAsia="仿宋" w:cs="仿宋"/>
        </w:rPr>
      </w:pPr>
      <w:r>
        <w:rPr>
          <w:rFonts w:eastAsia="方正仿宋_GBK"/>
          <w:color w:val="000000"/>
        </w:rPr>
        <w:t>南京市公安局浦口分局实有在职人员</w:t>
      </w:r>
      <w:r>
        <w:rPr>
          <w:rFonts w:hint="eastAsia" w:eastAsia="方正仿宋_GBK"/>
          <w:color w:val="000000"/>
        </w:rPr>
        <w:t>174</w:t>
      </w:r>
      <w:r>
        <w:rPr>
          <w:rFonts w:eastAsia="方正仿宋_GBK"/>
          <w:color w:val="000000"/>
        </w:rPr>
        <w:t>人（含事业编制和行政工人），离</w:t>
      </w:r>
      <w:r>
        <w:rPr>
          <w:rFonts w:hint="eastAsia" w:eastAsia="方正仿宋_GBK"/>
          <w:color w:val="000000"/>
        </w:rPr>
        <w:t>退</w:t>
      </w:r>
      <w:r>
        <w:rPr>
          <w:rFonts w:eastAsia="方正仿宋_GBK"/>
          <w:color w:val="000000"/>
        </w:rPr>
        <w:t>休人员</w:t>
      </w:r>
      <w:r>
        <w:rPr>
          <w:rFonts w:hint="eastAsia" w:eastAsia="方正仿宋_GBK"/>
          <w:color w:val="000000"/>
        </w:rPr>
        <w:t>98</w:t>
      </w:r>
      <w:r>
        <w:rPr>
          <w:rFonts w:eastAsia="方正仿宋_GBK"/>
          <w:color w:val="000000"/>
        </w:rPr>
        <w:t>人</w:t>
      </w:r>
      <w:r>
        <w:rPr>
          <w:rFonts w:eastAsia="方正仿宋_GBK"/>
        </w:rPr>
        <w:t>。实有市级财政保障警务辅助人员</w:t>
      </w:r>
      <w:r>
        <w:rPr>
          <w:rFonts w:hint="eastAsia" w:eastAsia="方正仿宋_GBK"/>
          <w:color w:val="000000"/>
        </w:rPr>
        <w:t>199</w:t>
      </w:r>
      <w:r>
        <w:rPr>
          <w:rFonts w:eastAsia="方正仿宋_GBK"/>
          <w:color w:val="000000"/>
        </w:rPr>
        <w:t>人</w:t>
      </w:r>
      <w:r>
        <w:rPr>
          <w:rFonts w:eastAsia="方正仿宋_GBK"/>
        </w:rPr>
        <w:t>。</w:t>
      </w:r>
      <w:r>
        <w:rPr>
          <w:rFonts w:hint="eastAsia" w:ascii="仿宋" w:hAnsi="仿宋" w:eastAsia="仿宋" w:cs="仿宋"/>
        </w:rPr>
        <w:t>根据单位职责分工，</w:t>
      </w:r>
      <w:r>
        <w:rPr>
          <w:rFonts w:ascii="仿宋" w:hAnsi="仿宋" w:eastAsia="仿宋" w:cs="仿宋"/>
        </w:rPr>
        <w:t>本单位内设机构包括5个机关部门、12个职能大队和9个派出所。机关部门包括政工室、情报指挥中心、警务保障室、督察审计大队、法制大队。12个职能大队为市局交通管理支队浦口区大队、政治安全保卫大队、治安管理大队、刑事侦查大队、巡特警大队、网络安全保卫大队、经济犯罪侦查大队、单位内部安全保卫大队、环境资源和食品药品犯罪侦查大队、出入境管理大队、反诈骗和新型犯罪大队、技术侦察支队直属侦察三大队。9个派出所为珠江所、建设所、桥林所、星甸所、乌江所、石桥所、汤泉所、永宁所、珍珠泉所。本单位无下属单位。</w:t>
      </w:r>
    </w:p>
    <w:p>
      <w:pPr>
        <w:pStyle w:val="4"/>
        <w:spacing w:line="560" w:lineRule="exact"/>
        <w:ind w:firstLine="640" w:firstLineChars="200"/>
        <w:rPr>
          <w:rFonts w:ascii="方正楷体_GBK" w:hAnsi="Calibri" w:eastAsia="方正楷体_GBK"/>
        </w:rPr>
      </w:pPr>
      <w:r>
        <w:rPr>
          <w:rFonts w:hint="eastAsia" w:ascii="方正楷体_GBK" w:hAnsi="Calibri" w:eastAsia="方正楷体_GBK"/>
        </w:rPr>
        <w:t>3、</w:t>
      </w:r>
      <w:r>
        <w:rPr>
          <w:rFonts w:ascii="方正楷体_GBK" w:hAnsi="Calibri" w:eastAsia="方正楷体_GBK"/>
        </w:rPr>
        <w:t>部门资产情况</w:t>
      </w:r>
    </w:p>
    <w:p>
      <w:pPr>
        <w:pStyle w:val="4"/>
        <w:spacing w:line="560" w:lineRule="exact"/>
        <w:ind w:firstLine="640" w:firstLineChars="200"/>
        <w:rPr>
          <w:rFonts w:ascii="仿宋" w:hAnsi="仿宋" w:eastAsia="仿宋" w:cs="仿宋"/>
        </w:rPr>
      </w:pPr>
      <w:r>
        <w:rPr>
          <w:rFonts w:hint="eastAsia" w:ascii="仿宋" w:hAnsi="仿宋" w:eastAsia="仿宋" w:cs="仿宋"/>
        </w:rPr>
        <w:t>截至2025年末，南京市公安局浦口分局资产总额为3926.93万元，其中流动资产813.60万元，非流动资产3113.33万元。固定资产原值为6098.15万元，净值为3060.65万元，办公设备按照核定标准配置。</w:t>
      </w:r>
    </w:p>
    <w:p>
      <w:pPr>
        <w:spacing w:line="560" w:lineRule="exact"/>
        <w:ind w:firstLine="640" w:firstLineChars="200"/>
        <w:rPr>
          <w:rFonts w:ascii="方正仿宋_GBK" w:hAnsi="宋体" w:eastAsia="方正仿宋_GBK" w:cs="宋体"/>
          <w:kern w:val="0"/>
          <w:sz w:val="32"/>
          <w:szCs w:val="32"/>
        </w:rPr>
      </w:pPr>
      <w:r>
        <w:rPr>
          <w:rFonts w:hint="eastAsia" w:ascii="方正仿宋_GBK" w:hAnsi="宋体" w:eastAsia="方正仿宋_GBK" w:cs="宋体"/>
          <w:kern w:val="0"/>
          <w:sz w:val="32"/>
          <w:szCs w:val="32"/>
        </w:rPr>
        <w:t>（二）部门资金情况</w:t>
      </w:r>
    </w:p>
    <w:p>
      <w:pPr>
        <w:spacing w:line="560" w:lineRule="exact"/>
        <w:ind w:firstLine="640" w:firstLineChars="200"/>
        <w:rPr>
          <w:rFonts w:ascii="方正仿宋_GBK" w:hAnsi="宋体" w:eastAsia="方正仿宋_GBK"/>
          <w:color w:val="000000" w:themeColor="text1"/>
          <w:sz w:val="32"/>
          <w:szCs w:val="32"/>
        </w:rPr>
      </w:pPr>
      <w:r>
        <w:rPr>
          <w:rFonts w:hint="eastAsia" w:ascii="方正仿宋_GBK" w:hAnsi="宋体" w:eastAsia="方正仿宋_GBK"/>
          <w:color w:val="000000" w:themeColor="text1"/>
          <w:sz w:val="32"/>
          <w:szCs w:val="32"/>
        </w:rPr>
        <w:t>1、部门收支情况</w:t>
      </w:r>
    </w:p>
    <w:p>
      <w:pPr>
        <w:spacing w:line="560" w:lineRule="exact"/>
        <w:ind w:firstLine="640" w:firstLineChars="200"/>
      </w:pPr>
      <w:r>
        <w:rPr>
          <w:rFonts w:hint="eastAsia" w:ascii="方正仿宋_GBK" w:hAnsi="宋体" w:eastAsia="方正仿宋_GBK"/>
          <w:color w:val="000000"/>
          <w:sz w:val="32"/>
          <w:szCs w:val="32"/>
        </w:rPr>
        <w:t>南京市公安局浦口分局2025年度部门预算数为9582.26万元，其中基本支出8781.26万元，项目支出801万元。</w:t>
      </w:r>
      <w:r>
        <w:rPr>
          <w:rFonts w:hint="eastAsia" w:eastAsia="方正仿宋_GBK"/>
          <w:sz w:val="32"/>
          <w:szCs w:val="32"/>
          <w:lang w:val="zh-CN"/>
        </w:rPr>
        <w:t>调整后预算</w:t>
      </w:r>
      <w:r>
        <w:rPr>
          <w:rFonts w:hint="eastAsia" w:eastAsia="方正仿宋_GBK"/>
          <w:sz w:val="32"/>
          <w:szCs w:val="32"/>
        </w:rPr>
        <w:t>10824.19</w:t>
      </w:r>
      <w:r>
        <w:rPr>
          <w:rFonts w:hint="eastAsia" w:eastAsia="方正仿宋_GBK"/>
          <w:sz w:val="32"/>
          <w:szCs w:val="32"/>
          <w:lang w:val="zh-CN"/>
        </w:rPr>
        <w:t>万元，其中：基本支出</w:t>
      </w:r>
      <w:r>
        <w:rPr>
          <w:rFonts w:hint="eastAsia" w:eastAsia="方正仿宋_GBK"/>
          <w:sz w:val="32"/>
          <w:szCs w:val="32"/>
        </w:rPr>
        <w:t>9998.19</w:t>
      </w:r>
      <w:r>
        <w:rPr>
          <w:rFonts w:hint="eastAsia" w:eastAsia="方正仿宋_GBK"/>
          <w:sz w:val="32"/>
          <w:szCs w:val="32"/>
          <w:lang w:val="zh-CN"/>
        </w:rPr>
        <w:t>万元，项目支出</w:t>
      </w:r>
      <w:r>
        <w:rPr>
          <w:rFonts w:hint="eastAsia" w:eastAsia="方正仿宋_GBK"/>
          <w:sz w:val="32"/>
          <w:szCs w:val="32"/>
        </w:rPr>
        <w:t>826</w:t>
      </w:r>
      <w:r>
        <w:rPr>
          <w:rFonts w:hint="eastAsia" w:eastAsia="方正仿宋_GBK"/>
          <w:sz w:val="32"/>
          <w:szCs w:val="32"/>
          <w:lang w:val="zh-CN"/>
        </w:rPr>
        <w:t>万元，调增</w:t>
      </w:r>
      <w:r>
        <w:rPr>
          <w:rFonts w:hint="eastAsia" w:eastAsia="方正仿宋_GBK"/>
          <w:sz w:val="32"/>
          <w:szCs w:val="32"/>
        </w:rPr>
        <w:t>1241.93</w:t>
      </w:r>
      <w:r>
        <w:rPr>
          <w:rFonts w:hint="eastAsia" w:eastAsia="方正仿宋_GBK"/>
          <w:sz w:val="32"/>
          <w:szCs w:val="32"/>
          <w:lang w:val="zh-CN"/>
        </w:rPr>
        <w:t>万元，主要原因是</w:t>
      </w:r>
      <w:r>
        <w:rPr>
          <w:rFonts w:hAnsi="方正仿宋_GBK" w:eastAsia="方正仿宋_GBK"/>
          <w:kern w:val="0"/>
          <w:sz w:val="32"/>
          <w:szCs w:val="32"/>
          <w:lang w:val="zh-CN"/>
        </w:rPr>
        <w:t>基本支出增人增资、年中追加项目经费</w:t>
      </w:r>
      <w:r>
        <w:rPr>
          <w:rFonts w:hint="eastAsia" w:eastAsia="方正仿宋_GBK"/>
          <w:sz w:val="32"/>
          <w:szCs w:val="32"/>
        </w:rPr>
        <w:t>等</w:t>
      </w:r>
      <w:r>
        <w:rPr>
          <w:rFonts w:hint="eastAsia" w:eastAsia="方正仿宋_GBK"/>
          <w:sz w:val="32"/>
          <w:szCs w:val="32"/>
          <w:lang w:val="zh-CN"/>
        </w:rPr>
        <w:t>。</w:t>
      </w:r>
      <w:r>
        <w:rPr>
          <w:rFonts w:hAnsi="方正仿宋_GBK" w:eastAsia="方正仿宋_GBK"/>
          <w:kern w:val="0"/>
          <w:sz w:val="32"/>
          <w:szCs w:val="32"/>
          <w:lang w:val="zh-CN"/>
        </w:rPr>
        <w:t>决算支出数为</w:t>
      </w:r>
      <w:r>
        <w:rPr>
          <w:rFonts w:hint="eastAsia" w:eastAsia="方正仿宋_GBK"/>
          <w:kern w:val="0"/>
          <w:sz w:val="32"/>
          <w:szCs w:val="32"/>
        </w:rPr>
        <w:t>10759.06</w:t>
      </w:r>
      <w:r>
        <w:rPr>
          <w:rFonts w:hAnsi="方正仿宋_GBK" w:eastAsia="方正仿宋_GBK"/>
          <w:kern w:val="0"/>
          <w:sz w:val="32"/>
          <w:szCs w:val="32"/>
          <w:lang w:val="zh-CN"/>
        </w:rPr>
        <w:t>万元，其中基本支出</w:t>
      </w:r>
      <w:r>
        <w:rPr>
          <w:rFonts w:hint="eastAsia" w:eastAsia="方正仿宋_GBK"/>
          <w:kern w:val="0"/>
          <w:sz w:val="32"/>
          <w:szCs w:val="32"/>
        </w:rPr>
        <w:t>9447.5</w:t>
      </w:r>
      <w:r>
        <w:rPr>
          <w:rFonts w:hAnsi="方正仿宋_GBK" w:eastAsia="方正仿宋_GBK"/>
          <w:kern w:val="0"/>
          <w:sz w:val="32"/>
          <w:szCs w:val="32"/>
          <w:lang w:val="zh-CN"/>
        </w:rPr>
        <w:t>万元，项目支出</w:t>
      </w:r>
      <w:r>
        <w:rPr>
          <w:rFonts w:hint="eastAsia" w:eastAsia="方正仿宋_GBK"/>
          <w:kern w:val="0"/>
          <w:sz w:val="32"/>
          <w:szCs w:val="32"/>
        </w:rPr>
        <w:t>1311.56</w:t>
      </w:r>
      <w:r>
        <w:rPr>
          <w:rFonts w:hAnsi="方正仿宋_GBK" w:eastAsia="方正仿宋_GBK"/>
          <w:kern w:val="0"/>
          <w:sz w:val="32"/>
          <w:szCs w:val="32"/>
          <w:lang w:val="zh-CN"/>
        </w:rPr>
        <w:t>万元。</w:t>
      </w:r>
      <w:r>
        <w:rPr>
          <w:rFonts w:hAnsi="方正仿宋_GBK" w:eastAsia="方正仿宋_GBK"/>
          <w:kern w:val="0"/>
          <w:sz w:val="32"/>
          <w:szCs w:val="32"/>
        </w:rPr>
        <w:t>详见表</w:t>
      </w:r>
      <w:r>
        <w:rPr>
          <w:rFonts w:eastAsia="方正仿宋_GBK"/>
          <w:kern w:val="0"/>
          <w:sz w:val="32"/>
          <w:szCs w:val="32"/>
        </w:rPr>
        <w:t>1</w:t>
      </w:r>
      <w:r>
        <w:rPr>
          <w:rFonts w:hint="eastAsia" w:eastAsia="方正仿宋_GBK"/>
          <w:kern w:val="0"/>
          <w:sz w:val="32"/>
          <w:szCs w:val="32"/>
        </w:rPr>
        <w:t>。</w:t>
      </w:r>
    </w:p>
    <w:p>
      <w:pPr>
        <w:pStyle w:val="2"/>
      </w:pPr>
    </w:p>
    <w:p>
      <w:pPr>
        <w:spacing w:line="560" w:lineRule="exact"/>
        <w:ind w:firstLine="640" w:firstLineChars="200"/>
        <w:rPr>
          <w:rFonts w:ascii="方正仿宋_GBK" w:hAnsi="宋体" w:eastAsia="方正仿宋_GBK"/>
          <w:sz w:val="32"/>
          <w:szCs w:val="32"/>
        </w:rPr>
      </w:pPr>
      <w:r>
        <w:rPr>
          <w:rFonts w:hint="eastAsia" w:ascii="方正仿宋_GBK" w:hAnsi="宋体" w:eastAsia="方正仿宋_GBK"/>
          <w:sz w:val="32"/>
          <w:szCs w:val="32"/>
        </w:rPr>
        <w:t>表1  2025年浦口分局部门预算安排与支出情况</w:t>
      </w:r>
    </w:p>
    <w:tbl>
      <w:tblPr>
        <w:tblStyle w:val="8"/>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04"/>
        <w:gridCol w:w="1704"/>
        <w:gridCol w:w="1704"/>
        <w:gridCol w:w="1705"/>
        <w:gridCol w:w="17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1704" w:type="dxa"/>
          </w:tcPr>
          <w:p>
            <w:pPr>
              <w:spacing w:line="560" w:lineRule="exact"/>
              <w:jc w:val="center"/>
              <w:rPr>
                <w:rFonts w:ascii="方正仿宋_GBK" w:hAnsi="宋体" w:eastAsia="方正仿宋_GBK"/>
                <w:sz w:val="24"/>
              </w:rPr>
            </w:pPr>
            <w:r>
              <w:rPr>
                <w:rFonts w:hint="eastAsia" w:ascii="方正仿宋_GBK" w:hAnsi="宋体" w:eastAsia="方正仿宋_GBK"/>
                <w:sz w:val="24"/>
              </w:rPr>
              <w:t>支出类别</w:t>
            </w:r>
          </w:p>
        </w:tc>
        <w:tc>
          <w:tcPr>
            <w:tcW w:w="1704" w:type="dxa"/>
          </w:tcPr>
          <w:p>
            <w:pPr>
              <w:spacing w:line="560" w:lineRule="exact"/>
              <w:jc w:val="center"/>
              <w:rPr>
                <w:rFonts w:ascii="方正仿宋_GBK" w:hAnsi="宋体" w:eastAsia="方正仿宋_GBK"/>
                <w:sz w:val="24"/>
              </w:rPr>
            </w:pPr>
            <w:r>
              <w:rPr>
                <w:rFonts w:hint="eastAsia" w:ascii="方正仿宋_GBK" w:hAnsi="宋体" w:eastAsia="方正仿宋_GBK"/>
                <w:sz w:val="24"/>
              </w:rPr>
              <w:t>年初预算数</w:t>
            </w:r>
          </w:p>
        </w:tc>
        <w:tc>
          <w:tcPr>
            <w:tcW w:w="1704" w:type="dxa"/>
          </w:tcPr>
          <w:p>
            <w:pPr>
              <w:spacing w:line="560" w:lineRule="exact"/>
              <w:jc w:val="center"/>
              <w:rPr>
                <w:rFonts w:ascii="方正仿宋_GBK" w:hAnsi="宋体" w:eastAsia="方正仿宋_GBK"/>
                <w:sz w:val="24"/>
              </w:rPr>
            </w:pPr>
            <w:r>
              <w:rPr>
                <w:rFonts w:hint="eastAsia" w:ascii="方正仿宋_GBK" w:hAnsi="宋体" w:eastAsia="方正仿宋_GBK"/>
                <w:sz w:val="24"/>
              </w:rPr>
              <w:t>调整后预算数</w:t>
            </w:r>
          </w:p>
        </w:tc>
        <w:tc>
          <w:tcPr>
            <w:tcW w:w="1705" w:type="dxa"/>
          </w:tcPr>
          <w:p>
            <w:pPr>
              <w:spacing w:line="560" w:lineRule="exact"/>
              <w:jc w:val="center"/>
              <w:rPr>
                <w:rFonts w:ascii="方正仿宋_GBK" w:hAnsi="宋体" w:eastAsia="方正仿宋_GBK"/>
                <w:sz w:val="24"/>
              </w:rPr>
            </w:pPr>
            <w:r>
              <w:rPr>
                <w:rFonts w:hint="eastAsia" w:ascii="方正仿宋_GBK" w:hAnsi="宋体" w:eastAsia="方正仿宋_GBK"/>
                <w:sz w:val="24"/>
              </w:rPr>
              <w:t>实际支出数</w:t>
            </w:r>
          </w:p>
        </w:tc>
        <w:tc>
          <w:tcPr>
            <w:tcW w:w="1705" w:type="dxa"/>
          </w:tcPr>
          <w:p>
            <w:pPr>
              <w:spacing w:line="560" w:lineRule="exact"/>
              <w:jc w:val="center"/>
              <w:rPr>
                <w:rFonts w:ascii="方正仿宋_GBK" w:hAnsi="宋体" w:eastAsia="方正仿宋_GBK"/>
                <w:sz w:val="24"/>
              </w:rPr>
            </w:pPr>
            <w:r>
              <w:rPr>
                <w:rFonts w:hint="eastAsia" w:ascii="方正仿宋_GBK" w:hAnsi="宋体" w:eastAsia="方正仿宋_GBK"/>
                <w:sz w:val="24"/>
              </w:rPr>
              <w:t>预算执行率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704" w:type="dxa"/>
          </w:tcPr>
          <w:p>
            <w:pPr>
              <w:spacing w:line="560" w:lineRule="exact"/>
              <w:jc w:val="center"/>
              <w:rPr>
                <w:rFonts w:ascii="方正仿宋_GBK" w:hAnsi="宋体" w:eastAsia="方正仿宋_GBK"/>
                <w:sz w:val="24"/>
              </w:rPr>
            </w:pPr>
            <w:r>
              <w:rPr>
                <w:rFonts w:hint="eastAsia" w:ascii="方正仿宋_GBK" w:hAnsi="宋体" w:eastAsia="方正仿宋_GBK"/>
                <w:sz w:val="24"/>
              </w:rPr>
              <w:t>基本支出</w:t>
            </w:r>
          </w:p>
        </w:tc>
        <w:tc>
          <w:tcPr>
            <w:tcW w:w="1704" w:type="dxa"/>
          </w:tcPr>
          <w:p>
            <w:pPr>
              <w:spacing w:line="560" w:lineRule="exact"/>
              <w:jc w:val="center"/>
              <w:rPr>
                <w:rFonts w:ascii="方正仿宋_GBK" w:hAnsi="宋体" w:eastAsia="方正仿宋_GBK"/>
                <w:sz w:val="24"/>
              </w:rPr>
            </w:pPr>
            <w:r>
              <w:rPr>
                <w:rFonts w:hint="eastAsia" w:ascii="方正仿宋_GBK" w:hAnsi="宋体" w:eastAsia="方正仿宋_GBK"/>
                <w:sz w:val="24"/>
              </w:rPr>
              <w:t>8781.26</w:t>
            </w:r>
          </w:p>
        </w:tc>
        <w:tc>
          <w:tcPr>
            <w:tcW w:w="1704" w:type="dxa"/>
          </w:tcPr>
          <w:p>
            <w:pPr>
              <w:spacing w:line="560" w:lineRule="exact"/>
              <w:jc w:val="center"/>
              <w:rPr>
                <w:rFonts w:ascii="方正仿宋_GBK" w:hAnsi="宋体" w:eastAsia="方正仿宋_GBK"/>
                <w:sz w:val="24"/>
              </w:rPr>
            </w:pPr>
            <w:r>
              <w:rPr>
                <w:rFonts w:hint="eastAsia" w:ascii="方正仿宋_GBK" w:hAnsi="宋体" w:eastAsia="方正仿宋_GBK"/>
                <w:sz w:val="24"/>
              </w:rPr>
              <w:t>9998.19</w:t>
            </w:r>
          </w:p>
        </w:tc>
        <w:tc>
          <w:tcPr>
            <w:tcW w:w="1705" w:type="dxa"/>
          </w:tcPr>
          <w:p>
            <w:pPr>
              <w:spacing w:line="560" w:lineRule="exact"/>
              <w:jc w:val="center"/>
              <w:rPr>
                <w:rFonts w:ascii="方正仿宋_GBK" w:hAnsi="宋体" w:eastAsia="方正仿宋_GBK"/>
                <w:sz w:val="24"/>
              </w:rPr>
            </w:pPr>
            <w:r>
              <w:rPr>
                <w:rFonts w:hint="eastAsia" w:ascii="方正仿宋_GBK" w:hAnsi="宋体" w:eastAsia="方正仿宋_GBK"/>
                <w:sz w:val="24"/>
              </w:rPr>
              <w:t>9447.50</w:t>
            </w:r>
          </w:p>
        </w:tc>
        <w:tc>
          <w:tcPr>
            <w:tcW w:w="1705" w:type="dxa"/>
          </w:tcPr>
          <w:p>
            <w:pPr>
              <w:spacing w:line="560" w:lineRule="exact"/>
              <w:jc w:val="center"/>
              <w:rPr>
                <w:rFonts w:ascii="方正仿宋_GBK" w:hAnsi="宋体" w:eastAsia="方正仿宋_GBK"/>
                <w:sz w:val="24"/>
              </w:rPr>
            </w:pPr>
            <w:r>
              <w:rPr>
                <w:rFonts w:hint="eastAsia" w:ascii="方正仿宋_GBK" w:hAnsi="宋体" w:eastAsia="方正仿宋_GBK"/>
                <w:sz w:val="24"/>
              </w:rPr>
              <w:t>94.49%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704" w:type="dxa"/>
          </w:tcPr>
          <w:p>
            <w:pPr>
              <w:spacing w:line="560" w:lineRule="exact"/>
              <w:jc w:val="center"/>
              <w:rPr>
                <w:rFonts w:ascii="方正仿宋_GBK" w:hAnsi="宋体" w:eastAsia="方正仿宋_GBK"/>
                <w:sz w:val="24"/>
              </w:rPr>
            </w:pPr>
            <w:r>
              <w:rPr>
                <w:rFonts w:hint="eastAsia" w:ascii="方正仿宋_GBK" w:hAnsi="宋体" w:eastAsia="方正仿宋_GBK"/>
                <w:sz w:val="24"/>
              </w:rPr>
              <w:t>项目支出</w:t>
            </w:r>
          </w:p>
        </w:tc>
        <w:tc>
          <w:tcPr>
            <w:tcW w:w="1704" w:type="dxa"/>
          </w:tcPr>
          <w:p>
            <w:pPr>
              <w:spacing w:line="560" w:lineRule="exact"/>
              <w:jc w:val="center"/>
              <w:rPr>
                <w:rFonts w:ascii="方正仿宋_GBK" w:hAnsi="宋体" w:eastAsia="方正仿宋_GBK"/>
                <w:sz w:val="24"/>
              </w:rPr>
            </w:pPr>
            <w:r>
              <w:rPr>
                <w:rFonts w:hint="eastAsia" w:ascii="方正仿宋_GBK" w:hAnsi="宋体" w:eastAsia="方正仿宋_GBK"/>
                <w:sz w:val="24"/>
              </w:rPr>
              <w:t>801</w:t>
            </w:r>
          </w:p>
        </w:tc>
        <w:tc>
          <w:tcPr>
            <w:tcW w:w="1704" w:type="dxa"/>
          </w:tcPr>
          <w:p>
            <w:pPr>
              <w:spacing w:line="560" w:lineRule="exact"/>
              <w:jc w:val="center"/>
              <w:rPr>
                <w:rFonts w:ascii="方正仿宋_GBK" w:hAnsi="宋体" w:eastAsia="方正仿宋_GBK"/>
                <w:sz w:val="24"/>
              </w:rPr>
            </w:pPr>
            <w:r>
              <w:rPr>
                <w:rFonts w:hint="eastAsia" w:ascii="方正仿宋_GBK" w:hAnsi="宋体" w:eastAsia="方正仿宋_GBK"/>
                <w:sz w:val="24"/>
              </w:rPr>
              <w:t>826</w:t>
            </w:r>
          </w:p>
        </w:tc>
        <w:tc>
          <w:tcPr>
            <w:tcW w:w="1705" w:type="dxa"/>
          </w:tcPr>
          <w:p>
            <w:pPr>
              <w:spacing w:line="560" w:lineRule="exact"/>
              <w:jc w:val="center"/>
              <w:rPr>
                <w:rFonts w:ascii="方正仿宋_GBK" w:hAnsi="宋体" w:eastAsia="方正仿宋_GBK"/>
                <w:sz w:val="24"/>
              </w:rPr>
            </w:pPr>
            <w:r>
              <w:rPr>
                <w:rFonts w:hint="eastAsia" w:ascii="方正仿宋_GBK" w:hAnsi="宋体" w:eastAsia="方正仿宋_GBK"/>
                <w:sz w:val="24"/>
              </w:rPr>
              <w:t>1311.56</w:t>
            </w:r>
          </w:p>
        </w:tc>
        <w:tc>
          <w:tcPr>
            <w:tcW w:w="1705" w:type="dxa"/>
          </w:tcPr>
          <w:p>
            <w:pPr>
              <w:spacing w:line="560" w:lineRule="exact"/>
              <w:jc w:val="center"/>
              <w:rPr>
                <w:rFonts w:ascii="方正仿宋_GBK" w:hAnsi="宋体" w:eastAsia="方正仿宋_GBK"/>
                <w:sz w:val="24"/>
              </w:rPr>
            </w:pPr>
            <w:r>
              <w:rPr>
                <w:rFonts w:hint="eastAsia" w:ascii="方正仿宋_GBK" w:hAnsi="宋体" w:eastAsia="方正仿宋_GBK"/>
                <w:sz w:val="24"/>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704" w:type="dxa"/>
          </w:tcPr>
          <w:p>
            <w:pPr>
              <w:spacing w:line="560" w:lineRule="exact"/>
              <w:jc w:val="center"/>
              <w:rPr>
                <w:rFonts w:ascii="方正仿宋_GBK" w:hAnsi="宋体" w:eastAsia="方正仿宋_GBK"/>
                <w:sz w:val="24"/>
              </w:rPr>
            </w:pPr>
            <w:r>
              <w:rPr>
                <w:rFonts w:hint="eastAsia" w:ascii="方正仿宋_GBK" w:hAnsi="宋体" w:eastAsia="方正仿宋_GBK"/>
                <w:sz w:val="24"/>
              </w:rPr>
              <w:t>合计</w:t>
            </w:r>
          </w:p>
        </w:tc>
        <w:tc>
          <w:tcPr>
            <w:tcW w:w="1704" w:type="dxa"/>
          </w:tcPr>
          <w:p>
            <w:pPr>
              <w:spacing w:line="560" w:lineRule="exact"/>
              <w:jc w:val="center"/>
              <w:rPr>
                <w:rFonts w:ascii="方正仿宋_GBK" w:hAnsi="宋体" w:eastAsia="方正仿宋_GBK"/>
                <w:sz w:val="24"/>
              </w:rPr>
            </w:pPr>
            <w:r>
              <w:rPr>
                <w:rFonts w:hint="eastAsia" w:ascii="方正仿宋_GBK" w:hAnsi="宋体" w:eastAsia="方正仿宋_GBK"/>
                <w:sz w:val="24"/>
              </w:rPr>
              <w:t>9582.26</w:t>
            </w:r>
          </w:p>
        </w:tc>
        <w:tc>
          <w:tcPr>
            <w:tcW w:w="1704" w:type="dxa"/>
          </w:tcPr>
          <w:p>
            <w:pPr>
              <w:spacing w:line="560" w:lineRule="exact"/>
              <w:jc w:val="center"/>
              <w:rPr>
                <w:rFonts w:ascii="方正仿宋_GBK" w:hAnsi="宋体" w:eastAsia="方正仿宋_GBK"/>
                <w:sz w:val="24"/>
              </w:rPr>
            </w:pPr>
            <w:r>
              <w:rPr>
                <w:rFonts w:hint="eastAsia" w:ascii="方正仿宋_GBK" w:hAnsi="宋体" w:eastAsia="方正仿宋_GBK"/>
                <w:sz w:val="24"/>
              </w:rPr>
              <w:t>10824.19</w:t>
            </w:r>
          </w:p>
        </w:tc>
        <w:tc>
          <w:tcPr>
            <w:tcW w:w="1705" w:type="dxa"/>
          </w:tcPr>
          <w:p>
            <w:pPr>
              <w:spacing w:line="560" w:lineRule="exact"/>
              <w:jc w:val="center"/>
              <w:rPr>
                <w:rFonts w:ascii="方正仿宋_GBK" w:hAnsi="宋体" w:eastAsia="方正仿宋_GBK"/>
                <w:sz w:val="24"/>
              </w:rPr>
            </w:pPr>
            <w:r>
              <w:rPr>
                <w:rFonts w:hint="eastAsia" w:ascii="方正仿宋_GBK" w:hAnsi="宋体" w:eastAsia="方正仿宋_GBK"/>
                <w:sz w:val="24"/>
              </w:rPr>
              <w:t>10759.06</w:t>
            </w:r>
          </w:p>
        </w:tc>
        <w:tc>
          <w:tcPr>
            <w:tcW w:w="1705" w:type="dxa"/>
          </w:tcPr>
          <w:p>
            <w:pPr>
              <w:spacing w:line="560" w:lineRule="exact"/>
              <w:jc w:val="center"/>
              <w:rPr>
                <w:rFonts w:ascii="方正仿宋_GBK" w:hAnsi="宋体" w:eastAsia="方正仿宋_GBK"/>
                <w:sz w:val="24"/>
              </w:rPr>
            </w:pPr>
            <w:r>
              <w:rPr>
                <w:rFonts w:hint="eastAsia" w:ascii="方正仿宋_GBK" w:hAnsi="宋体" w:eastAsia="方正仿宋_GBK"/>
                <w:sz w:val="24"/>
              </w:rPr>
              <w:t>99.40%</w:t>
            </w:r>
          </w:p>
        </w:tc>
      </w:tr>
    </w:tbl>
    <w:p>
      <w:pPr>
        <w:numPr>
          <w:ilvl w:val="0"/>
          <w:numId w:val="1"/>
        </w:numPr>
        <w:spacing w:line="560" w:lineRule="exact"/>
        <w:ind w:firstLine="640" w:firstLineChars="200"/>
        <w:rPr>
          <w:rFonts w:ascii="方正仿宋_GBK" w:hAnsi="宋体" w:eastAsia="方正仿宋_GBK"/>
          <w:sz w:val="32"/>
          <w:szCs w:val="32"/>
        </w:rPr>
      </w:pPr>
      <w:r>
        <w:rPr>
          <w:rFonts w:hint="eastAsia" w:ascii="方正仿宋_GBK" w:hAnsi="宋体" w:eastAsia="方正仿宋_GBK"/>
          <w:sz w:val="32"/>
          <w:szCs w:val="32"/>
        </w:rPr>
        <w:t>三公经费情况</w:t>
      </w:r>
    </w:p>
    <w:p>
      <w:pPr>
        <w:spacing w:line="560" w:lineRule="exact"/>
        <w:ind w:firstLine="640" w:firstLineChars="200"/>
      </w:pPr>
      <w:r>
        <w:rPr>
          <w:rFonts w:hint="eastAsia" w:eastAsia="方正仿宋_GBK"/>
          <w:sz w:val="32"/>
          <w:szCs w:val="32"/>
          <w:lang w:val="zh-CN"/>
        </w:rPr>
        <w:t>20</w:t>
      </w:r>
      <w:r>
        <w:rPr>
          <w:rFonts w:hint="eastAsia" w:eastAsia="方正仿宋_GBK"/>
          <w:sz w:val="32"/>
          <w:szCs w:val="32"/>
        </w:rPr>
        <w:t>25</w:t>
      </w:r>
      <w:r>
        <w:rPr>
          <w:rFonts w:hint="eastAsia" w:eastAsia="方正仿宋_GBK"/>
          <w:sz w:val="32"/>
          <w:szCs w:val="32"/>
          <w:lang w:val="zh-CN"/>
        </w:rPr>
        <w:t>年度</w:t>
      </w:r>
      <w:r>
        <w:rPr>
          <w:rFonts w:hint="eastAsia" w:eastAsia="方正仿宋_GBK"/>
          <w:sz w:val="32"/>
          <w:szCs w:val="32"/>
        </w:rPr>
        <w:t>南京市公安局浦口分局三公经费预算安排1</w:t>
      </w:r>
      <w:r>
        <w:rPr>
          <w:rFonts w:hint="eastAsia" w:eastAsia="方正仿宋_GBK"/>
          <w:sz w:val="32"/>
          <w:szCs w:val="32"/>
          <w:lang w:val="zh-CN"/>
        </w:rPr>
        <w:t>万元，</w:t>
      </w:r>
      <w:r>
        <w:rPr>
          <w:rFonts w:hint="eastAsia" w:eastAsia="方正仿宋_GBK"/>
          <w:sz w:val="32"/>
          <w:szCs w:val="32"/>
        </w:rPr>
        <w:t>决算支出0万元，预算执行率0%。详见表2。</w:t>
      </w:r>
    </w:p>
    <w:p>
      <w:pPr>
        <w:pStyle w:val="2"/>
      </w:pPr>
    </w:p>
    <w:tbl>
      <w:tblPr>
        <w:tblStyle w:val="8"/>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30"/>
        <w:gridCol w:w="2130"/>
        <w:gridCol w:w="2131"/>
        <w:gridCol w:w="213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130" w:type="dxa"/>
            <w:vAlign w:val="center"/>
          </w:tcPr>
          <w:p>
            <w:pPr>
              <w:spacing w:line="560" w:lineRule="exact"/>
              <w:jc w:val="center"/>
              <w:rPr>
                <w:rFonts w:ascii="方正仿宋_GBK" w:hAnsi="宋体" w:eastAsia="方正仿宋_GBK"/>
                <w:sz w:val="24"/>
              </w:rPr>
            </w:pPr>
            <w:r>
              <w:rPr>
                <w:rFonts w:hint="eastAsia" w:ascii="方正仿宋_GBK" w:hAnsi="宋体" w:eastAsia="方正仿宋_GBK"/>
                <w:sz w:val="24"/>
              </w:rPr>
              <w:t>项目</w:t>
            </w:r>
          </w:p>
        </w:tc>
        <w:tc>
          <w:tcPr>
            <w:tcW w:w="2130" w:type="dxa"/>
            <w:vAlign w:val="center"/>
          </w:tcPr>
          <w:p>
            <w:pPr>
              <w:spacing w:line="560" w:lineRule="exact"/>
              <w:jc w:val="center"/>
              <w:rPr>
                <w:rFonts w:ascii="方正仿宋_GBK" w:hAnsi="宋体" w:eastAsia="方正仿宋_GBK"/>
                <w:sz w:val="24"/>
              </w:rPr>
            </w:pPr>
            <w:r>
              <w:rPr>
                <w:rFonts w:hint="eastAsia" w:ascii="方正仿宋_GBK" w:hAnsi="宋体" w:eastAsia="方正仿宋_GBK"/>
                <w:sz w:val="24"/>
              </w:rPr>
              <w:t>预算安排数</w:t>
            </w:r>
          </w:p>
        </w:tc>
        <w:tc>
          <w:tcPr>
            <w:tcW w:w="2131" w:type="dxa"/>
            <w:vAlign w:val="center"/>
          </w:tcPr>
          <w:p>
            <w:pPr>
              <w:spacing w:line="560" w:lineRule="exact"/>
              <w:jc w:val="center"/>
              <w:rPr>
                <w:rFonts w:ascii="方正仿宋_GBK" w:hAnsi="宋体" w:eastAsia="方正仿宋_GBK"/>
                <w:sz w:val="24"/>
              </w:rPr>
            </w:pPr>
            <w:r>
              <w:rPr>
                <w:rFonts w:hint="eastAsia" w:ascii="方正仿宋_GBK" w:hAnsi="宋体" w:eastAsia="方正仿宋_GBK"/>
                <w:sz w:val="24"/>
              </w:rPr>
              <w:t>决算数</w:t>
            </w:r>
          </w:p>
        </w:tc>
        <w:tc>
          <w:tcPr>
            <w:tcW w:w="2131" w:type="dxa"/>
            <w:vAlign w:val="center"/>
          </w:tcPr>
          <w:p>
            <w:pPr>
              <w:spacing w:line="560" w:lineRule="exact"/>
              <w:jc w:val="center"/>
              <w:rPr>
                <w:rFonts w:ascii="方正仿宋_GBK" w:hAnsi="宋体" w:eastAsia="方正仿宋_GBK"/>
                <w:sz w:val="24"/>
              </w:rPr>
            </w:pPr>
            <w:r>
              <w:rPr>
                <w:rFonts w:hint="eastAsia" w:ascii="方正仿宋_GBK" w:hAnsi="宋体" w:eastAsia="方正仿宋_GBK"/>
                <w:sz w:val="24"/>
              </w:rPr>
              <w:t>预算执行率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130" w:type="dxa"/>
            <w:vAlign w:val="center"/>
          </w:tcPr>
          <w:p>
            <w:pPr>
              <w:spacing w:line="560" w:lineRule="exact"/>
              <w:jc w:val="center"/>
              <w:rPr>
                <w:rFonts w:ascii="方正仿宋_GBK" w:hAnsi="宋体" w:eastAsia="方正仿宋_GBK"/>
                <w:sz w:val="24"/>
              </w:rPr>
            </w:pPr>
            <w:r>
              <w:rPr>
                <w:rFonts w:hint="eastAsia" w:ascii="方正仿宋_GBK" w:hAnsi="宋体" w:eastAsia="方正仿宋_GBK"/>
                <w:sz w:val="24"/>
              </w:rPr>
              <w:t>因公出国境费用</w:t>
            </w:r>
          </w:p>
        </w:tc>
        <w:tc>
          <w:tcPr>
            <w:tcW w:w="2130" w:type="dxa"/>
            <w:vAlign w:val="center"/>
          </w:tcPr>
          <w:p>
            <w:pPr>
              <w:spacing w:line="560" w:lineRule="exact"/>
              <w:jc w:val="center"/>
              <w:rPr>
                <w:rFonts w:ascii="方正仿宋_GBK" w:hAnsi="宋体" w:eastAsia="方正仿宋_GBK"/>
                <w:sz w:val="24"/>
              </w:rPr>
            </w:pPr>
            <w:r>
              <w:rPr>
                <w:rFonts w:hint="eastAsia" w:ascii="方正仿宋_GBK" w:hAnsi="宋体" w:eastAsia="方正仿宋_GBK"/>
                <w:sz w:val="24"/>
              </w:rPr>
              <w:t>0</w:t>
            </w:r>
          </w:p>
        </w:tc>
        <w:tc>
          <w:tcPr>
            <w:tcW w:w="2131" w:type="dxa"/>
            <w:vAlign w:val="center"/>
          </w:tcPr>
          <w:p>
            <w:pPr>
              <w:spacing w:line="560" w:lineRule="exact"/>
              <w:jc w:val="center"/>
              <w:rPr>
                <w:rFonts w:ascii="方正仿宋_GBK" w:hAnsi="宋体" w:eastAsia="方正仿宋_GBK"/>
                <w:sz w:val="24"/>
              </w:rPr>
            </w:pPr>
            <w:r>
              <w:rPr>
                <w:rFonts w:hint="eastAsia" w:ascii="方正仿宋_GBK" w:hAnsi="宋体" w:eastAsia="方正仿宋_GBK"/>
                <w:sz w:val="24"/>
              </w:rPr>
              <w:t>0</w:t>
            </w:r>
          </w:p>
        </w:tc>
        <w:tc>
          <w:tcPr>
            <w:tcW w:w="2131" w:type="dxa"/>
            <w:vAlign w:val="center"/>
          </w:tcPr>
          <w:p>
            <w:pPr>
              <w:spacing w:line="560" w:lineRule="exact"/>
              <w:jc w:val="center"/>
              <w:rPr>
                <w:rFonts w:ascii="方正仿宋_GBK" w:hAnsi="宋体" w:eastAsia="方正仿宋_GBK"/>
                <w:sz w:val="24"/>
              </w:rPr>
            </w:pPr>
            <w:r>
              <w:rPr>
                <w:rFonts w:hint="eastAsia" w:ascii="方正仿宋_GBK" w:hAnsi="宋体" w:eastAsia="方正仿宋_GBK"/>
                <w:sz w:val="24"/>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130" w:type="dxa"/>
            <w:vAlign w:val="center"/>
          </w:tcPr>
          <w:p>
            <w:pPr>
              <w:spacing w:line="0" w:lineRule="atLeast"/>
              <w:jc w:val="center"/>
              <w:rPr>
                <w:rFonts w:ascii="方正仿宋_GBK" w:hAnsi="宋体" w:eastAsia="方正仿宋_GBK"/>
                <w:sz w:val="24"/>
              </w:rPr>
            </w:pPr>
            <w:r>
              <w:rPr>
                <w:rFonts w:hint="eastAsia" w:ascii="方正仿宋_GBK" w:hAnsi="宋体" w:eastAsia="方正仿宋_GBK"/>
                <w:sz w:val="24"/>
              </w:rPr>
              <w:t>公务用车购置及运行维护费</w:t>
            </w:r>
          </w:p>
        </w:tc>
        <w:tc>
          <w:tcPr>
            <w:tcW w:w="2130" w:type="dxa"/>
            <w:vAlign w:val="center"/>
          </w:tcPr>
          <w:p>
            <w:pPr>
              <w:spacing w:line="0" w:lineRule="atLeast"/>
              <w:jc w:val="center"/>
              <w:rPr>
                <w:rFonts w:ascii="方正仿宋_GBK" w:hAnsi="宋体" w:eastAsia="方正仿宋_GBK"/>
                <w:sz w:val="24"/>
              </w:rPr>
            </w:pPr>
            <w:r>
              <w:rPr>
                <w:rFonts w:hint="eastAsia" w:ascii="方正仿宋_GBK" w:hAnsi="宋体" w:eastAsia="方正仿宋_GBK"/>
                <w:sz w:val="24"/>
              </w:rPr>
              <w:t>0</w:t>
            </w:r>
          </w:p>
        </w:tc>
        <w:tc>
          <w:tcPr>
            <w:tcW w:w="2131" w:type="dxa"/>
            <w:vAlign w:val="center"/>
          </w:tcPr>
          <w:p>
            <w:pPr>
              <w:spacing w:line="0" w:lineRule="atLeast"/>
              <w:jc w:val="center"/>
              <w:rPr>
                <w:rFonts w:ascii="方正仿宋_GBK" w:hAnsi="宋体" w:eastAsia="方正仿宋_GBK"/>
                <w:sz w:val="24"/>
              </w:rPr>
            </w:pPr>
            <w:r>
              <w:rPr>
                <w:rFonts w:hint="eastAsia" w:ascii="方正仿宋_GBK" w:hAnsi="宋体" w:eastAsia="方正仿宋_GBK"/>
                <w:sz w:val="24"/>
              </w:rPr>
              <w:t>0</w:t>
            </w:r>
          </w:p>
        </w:tc>
        <w:tc>
          <w:tcPr>
            <w:tcW w:w="2131" w:type="dxa"/>
            <w:vAlign w:val="center"/>
          </w:tcPr>
          <w:p>
            <w:pPr>
              <w:spacing w:line="0" w:lineRule="atLeast"/>
              <w:jc w:val="center"/>
              <w:rPr>
                <w:rFonts w:ascii="方正仿宋_GBK" w:hAnsi="宋体" w:eastAsia="方正仿宋_GBK"/>
                <w:sz w:val="24"/>
              </w:rPr>
            </w:pPr>
            <w:r>
              <w:rPr>
                <w:rFonts w:hint="eastAsia" w:ascii="方正仿宋_GBK" w:hAnsi="宋体" w:eastAsia="方正仿宋_GBK"/>
                <w:sz w:val="24"/>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130" w:type="dxa"/>
            <w:vAlign w:val="center"/>
          </w:tcPr>
          <w:p>
            <w:pPr>
              <w:spacing w:line="560" w:lineRule="exact"/>
              <w:jc w:val="center"/>
              <w:rPr>
                <w:rFonts w:ascii="方正仿宋_GBK" w:hAnsi="宋体" w:eastAsia="方正仿宋_GBK"/>
                <w:sz w:val="24"/>
              </w:rPr>
            </w:pPr>
            <w:r>
              <w:rPr>
                <w:rFonts w:hint="eastAsia" w:ascii="方正仿宋_GBK" w:hAnsi="宋体" w:eastAsia="方正仿宋_GBK"/>
                <w:sz w:val="24"/>
              </w:rPr>
              <w:t>公务接待费</w:t>
            </w:r>
          </w:p>
        </w:tc>
        <w:tc>
          <w:tcPr>
            <w:tcW w:w="2130" w:type="dxa"/>
            <w:vAlign w:val="center"/>
          </w:tcPr>
          <w:p>
            <w:pPr>
              <w:spacing w:line="560" w:lineRule="exact"/>
              <w:jc w:val="center"/>
              <w:rPr>
                <w:rFonts w:ascii="方正仿宋_GBK" w:hAnsi="宋体" w:eastAsia="方正仿宋_GBK"/>
                <w:sz w:val="24"/>
              </w:rPr>
            </w:pPr>
            <w:r>
              <w:rPr>
                <w:rFonts w:hint="eastAsia" w:ascii="方正仿宋_GBK" w:hAnsi="宋体" w:eastAsia="方正仿宋_GBK"/>
                <w:sz w:val="24"/>
              </w:rPr>
              <w:t>1</w:t>
            </w:r>
          </w:p>
        </w:tc>
        <w:tc>
          <w:tcPr>
            <w:tcW w:w="2131" w:type="dxa"/>
            <w:vAlign w:val="center"/>
          </w:tcPr>
          <w:p>
            <w:pPr>
              <w:spacing w:line="560" w:lineRule="exact"/>
              <w:jc w:val="center"/>
              <w:rPr>
                <w:rFonts w:ascii="方正仿宋_GBK" w:hAnsi="宋体" w:eastAsia="方正仿宋_GBK"/>
                <w:sz w:val="24"/>
              </w:rPr>
            </w:pPr>
            <w:r>
              <w:rPr>
                <w:rFonts w:hint="eastAsia" w:ascii="方正仿宋_GBK" w:hAnsi="宋体" w:eastAsia="方正仿宋_GBK"/>
                <w:sz w:val="24"/>
              </w:rPr>
              <w:t>0</w:t>
            </w:r>
          </w:p>
        </w:tc>
        <w:tc>
          <w:tcPr>
            <w:tcW w:w="2131" w:type="dxa"/>
            <w:vAlign w:val="center"/>
          </w:tcPr>
          <w:p>
            <w:pPr>
              <w:spacing w:line="560" w:lineRule="exact"/>
              <w:jc w:val="center"/>
              <w:rPr>
                <w:rFonts w:ascii="方正仿宋_GBK" w:hAnsi="宋体" w:eastAsia="方正仿宋_GBK"/>
                <w:sz w:val="24"/>
              </w:rPr>
            </w:pPr>
            <w:r>
              <w:rPr>
                <w:rFonts w:hint="eastAsia" w:ascii="方正仿宋_GBK" w:hAnsi="宋体" w:eastAsia="方正仿宋_GBK"/>
                <w:sz w:val="24"/>
              </w:rPr>
              <w:t>0%</w:t>
            </w:r>
          </w:p>
        </w:tc>
      </w:tr>
    </w:tbl>
    <w:p>
      <w:pPr>
        <w:spacing w:line="560" w:lineRule="exact"/>
        <w:ind w:left="-10" w:firstLine="640" w:firstLineChars="200"/>
        <w:rPr>
          <w:rFonts w:eastAsia="方正仿宋_GBK"/>
          <w:color w:val="000000"/>
          <w:kern w:val="0"/>
          <w:sz w:val="32"/>
          <w:szCs w:val="32"/>
        </w:rPr>
      </w:pPr>
      <w:r>
        <w:rPr>
          <w:rFonts w:hint="eastAsia" w:eastAsia="方正楷体_GBK"/>
          <w:sz w:val="32"/>
          <w:szCs w:val="32"/>
        </w:rPr>
        <w:t>3、专项资金情况</w:t>
      </w:r>
    </w:p>
    <w:p>
      <w:pPr>
        <w:spacing w:line="560" w:lineRule="exact"/>
        <w:ind w:firstLine="640" w:firstLineChars="200"/>
        <w:rPr>
          <w:lang w:val="zh-CN"/>
        </w:rPr>
      </w:pPr>
      <w:r>
        <w:rPr>
          <w:rFonts w:hint="eastAsia" w:hAnsi="方正仿宋_GBK" w:eastAsia="方正仿宋_GBK"/>
          <w:sz w:val="32"/>
          <w:szCs w:val="32"/>
        </w:rPr>
        <w:t>2025年</w:t>
      </w:r>
      <w:r>
        <w:rPr>
          <w:rFonts w:hAnsi="方正仿宋_GBK" w:eastAsia="方正仿宋_GBK"/>
          <w:sz w:val="32"/>
          <w:szCs w:val="32"/>
          <w:lang w:val="zh-CN"/>
        </w:rPr>
        <w:t>南京市公安局</w:t>
      </w:r>
      <w:r>
        <w:rPr>
          <w:rFonts w:hint="eastAsia" w:hAnsi="方正仿宋_GBK" w:eastAsia="方正仿宋_GBK"/>
          <w:sz w:val="32"/>
          <w:szCs w:val="32"/>
        </w:rPr>
        <w:t>浦口分局</w:t>
      </w:r>
      <w:r>
        <w:rPr>
          <w:rFonts w:hint="eastAsia" w:ascii="方正仿宋_GBK" w:hAnsi="宋体" w:eastAsia="方正仿宋_GBK"/>
          <w:sz w:val="32"/>
          <w:szCs w:val="32"/>
        </w:rPr>
        <w:t>无市级专项资金项目。</w:t>
      </w:r>
    </w:p>
    <w:p>
      <w:pPr>
        <w:widowControl/>
        <w:spacing w:beforeLines="50" w:line="600" w:lineRule="exact"/>
        <w:ind w:firstLine="640" w:firstLineChars="200"/>
        <w:rPr>
          <w:rFonts w:ascii="方正楷体_GBK" w:hAnsi="方正楷体_GBK" w:eastAsia="方正楷体_GBK" w:cs="方正楷体_GBK"/>
          <w:color w:val="000000"/>
          <w:kern w:val="0"/>
          <w:sz w:val="32"/>
          <w:szCs w:val="32"/>
        </w:rPr>
      </w:pPr>
      <w:r>
        <w:rPr>
          <w:rFonts w:hint="eastAsia" w:ascii="方正楷体_GBK" w:hAnsi="方正楷体_GBK" w:eastAsia="方正楷体_GBK" w:cs="方正楷体_GBK"/>
          <w:color w:val="000000"/>
          <w:kern w:val="0"/>
          <w:sz w:val="32"/>
          <w:szCs w:val="32"/>
        </w:rPr>
        <w:t>（三）部门绩效目标</w:t>
      </w:r>
    </w:p>
    <w:p>
      <w:pPr>
        <w:autoSpaceDE w:val="0"/>
        <w:autoSpaceDN w:val="0"/>
        <w:snapToGrid w:val="0"/>
        <w:spacing w:line="560" w:lineRule="exact"/>
        <w:ind w:firstLine="640" w:firstLineChars="200"/>
        <w:rPr>
          <w:rFonts w:ascii="方正楷体_GBK" w:hAnsi="Calibri" w:eastAsia="方正楷体_GBK" w:cs="黑体"/>
          <w:sz w:val="32"/>
          <w:szCs w:val="32"/>
        </w:rPr>
      </w:pPr>
      <w:r>
        <w:rPr>
          <w:rFonts w:ascii="方正楷体_GBK" w:hAnsi="Calibri" w:eastAsia="方正楷体_GBK" w:cs="黑体"/>
          <w:sz w:val="32"/>
          <w:szCs w:val="32"/>
        </w:rPr>
        <w:t>1、中长期阶段性目标</w:t>
      </w:r>
    </w:p>
    <w:p>
      <w:pPr>
        <w:widowControl/>
        <w:spacing w:line="600" w:lineRule="exact"/>
        <w:ind w:firstLine="640" w:firstLineChars="200"/>
        <w:rPr>
          <w:rFonts w:eastAsia="方正仿宋_GBK"/>
          <w:color w:val="000000"/>
          <w:sz w:val="32"/>
          <w:szCs w:val="32"/>
        </w:rPr>
      </w:pPr>
      <w:r>
        <w:rPr>
          <w:rFonts w:eastAsia="方正仿宋_GBK"/>
          <w:color w:val="000000"/>
          <w:sz w:val="32"/>
          <w:szCs w:val="32"/>
        </w:rPr>
        <w:t>推进公安工作现代化是新时代公安工作的发展方向，深入实施现代警务战略、着力打造现代警务体系是浦口公安分局工作发展的根本出路。当前和今后一段时期总的目标是：加快推动质量变革、效率变革、动力变革，全面提升整体警务效能，力争建成符合浦口实际的现代警务体系，推动公安工作高质量发展走在全市前列，争做公安工作现代化的引领者和领跑者。</w:t>
      </w:r>
    </w:p>
    <w:p>
      <w:pPr>
        <w:autoSpaceDE w:val="0"/>
        <w:autoSpaceDN w:val="0"/>
        <w:snapToGrid w:val="0"/>
        <w:spacing w:line="560" w:lineRule="exact"/>
        <w:ind w:firstLine="640" w:firstLineChars="200"/>
        <w:rPr>
          <w:rFonts w:ascii="方正楷体_GBK" w:hAnsi="Calibri" w:eastAsia="方正楷体_GBK" w:cs="黑体"/>
          <w:sz w:val="32"/>
          <w:szCs w:val="32"/>
        </w:rPr>
      </w:pPr>
      <w:r>
        <w:rPr>
          <w:rFonts w:hint="eastAsia" w:ascii="方正楷体_GBK" w:hAnsi="Calibri" w:eastAsia="方正楷体_GBK" w:cs="黑体"/>
          <w:sz w:val="32"/>
          <w:szCs w:val="32"/>
        </w:rPr>
        <w:t>2、</w:t>
      </w:r>
      <w:r>
        <w:rPr>
          <w:rFonts w:ascii="方正楷体_GBK" w:hAnsi="Calibri" w:eastAsia="方正楷体_GBK" w:cs="黑体"/>
          <w:sz w:val="32"/>
          <w:szCs w:val="32"/>
        </w:rPr>
        <w:t>年度目标</w:t>
      </w:r>
    </w:p>
    <w:p>
      <w:pPr>
        <w:widowControl/>
        <w:spacing w:line="600" w:lineRule="exact"/>
        <w:ind w:firstLine="620" w:firstLineChars="200"/>
        <w:rPr>
          <w:rFonts w:ascii="方正仿宋_GBK" w:hAnsi="方正仿宋_GBK" w:eastAsia="方正仿宋_GBK" w:cs="方正仿宋_GBK"/>
          <w:color w:val="000000"/>
          <w:sz w:val="31"/>
          <w:szCs w:val="31"/>
        </w:rPr>
      </w:pPr>
      <w:r>
        <w:rPr>
          <w:rFonts w:ascii="方正仿宋_GBK" w:hAnsi="方正仿宋_GBK" w:eastAsia="方正仿宋_GBK" w:cs="方正仿宋_GBK"/>
          <w:color w:val="000000"/>
          <w:sz w:val="31"/>
          <w:szCs w:val="31"/>
        </w:rPr>
        <w:t>浦口分局坚持以习近平新时代中国特色社会主义思想为指导，深入学习贯彻党的二十大精神，认真落实市局党委</w:t>
      </w:r>
      <w:r>
        <w:rPr>
          <w:rFonts w:hint="eastAsia" w:ascii="方正仿宋_GBK" w:hAnsi="方正仿宋_GBK" w:eastAsia="方正仿宋_GBK" w:cs="方正仿宋_GBK"/>
          <w:color w:val="000000"/>
          <w:sz w:val="31"/>
          <w:szCs w:val="31"/>
        </w:rPr>
        <w:t>和区委、区政府总体部署，把</w:t>
      </w:r>
      <w:r>
        <w:rPr>
          <w:rFonts w:hint="eastAsia"/>
          <w:color w:val="000000"/>
          <w:sz w:val="31"/>
          <w:szCs w:val="31"/>
        </w:rPr>
        <w:t>“</w:t>
      </w:r>
      <w:r>
        <w:rPr>
          <w:rFonts w:hint="eastAsia" w:ascii="方正仿宋_GBK" w:hAnsi="方正仿宋_GBK" w:eastAsia="方正仿宋_GBK" w:cs="方正仿宋_GBK"/>
          <w:color w:val="000000"/>
          <w:sz w:val="31"/>
          <w:szCs w:val="31"/>
        </w:rPr>
        <w:t>改革</w:t>
      </w:r>
      <w:r>
        <w:rPr>
          <w:rFonts w:hint="eastAsia"/>
          <w:color w:val="000000"/>
          <w:sz w:val="31"/>
          <w:szCs w:val="31"/>
        </w:rPr>
        <w:t>”“</w:t>
      </w:r>
      <w:r>
        <w:rPr>
          <w:rFonts w:hint="eastAsia" w:ascii="方正仿宋_GBK" w:hAnsi="方正仿宋_GBK" w:eastAsia="方正仿宋_GBK" w:cs="方正仿宋_GBK"/>
          <w:color w:val="000000"/>
          <w:sz w:val="31"/>
          <w:szCs w:val="31"/>
        </w:rPr>
        <w:t>落实</w:t>
      </w:r>
      <w:r>
        <w:rPr>
          <w:rFonts w:hint="eastAsia"/>
          <w:color w:val="000000"/>
          <w:sz w:val="31"/>
          <w:szCs w:val="31"/>
        </w:rPr>
        <w:t>”</w:t>
      </w:r>
      <w:r>
        <w:rPr>
          <w:rFonts w:hint="eastAsia" w:ascii="方正仿宋_GBK" w:hAnsi="方正仿宋_GBK" w:eastAsia="方正仿宋_GBK" w:cs="方正仿宋_GBK"/>
          <w:color w:val="000000"/>
          <w:sz w:val="31"/>
          <w:szCs w:val="31"/>
        </w:rPr>
        <w:t>作为引领全年工作的关键词，全力护航现代化新浦口建设，力争取得辖区全域平安稳定、主业工作名列前茅、公安改革亮点鲜明、作风形象群众满意的良好成效。</w:t>
      </w:r>
    </w:p>
    <w:p>
      <w:pPr>
        <w:widowControl/>
        <w:spacing w:beforeLines="50" w:line="600" w:lineRule="exact"/>
        <w:ind w:firstLine="640" w:firstLineChars="200"/>
        <w:rPr>
          <w:rFonts w:eastAsia="方正黑体_GBK"/>
          <w:kern w:val="0"/>
          <w:sz w:val="32"/>
          <w:szCs w:val="32"/>
        </w:rPr>
      </w:pPr>
      <w:r>
        <w:rPr>
          <w:rFonts w:eastAsia="方正黑体_GBK"/>
          <w:kern w:val="0"/>
          <w:sz w:val="32"/>
          <w:szCs w:val="32"/>
        </w:rPr>
        <w:t>二 、评价</w:t>
      </w:r>
      <w:r>
        <w:rPr>
          <w:rFonts w:hint="eastAsia" w:eastAsia="方正黑体_GBK"/>
          <w:kern w:val="0"/>
          <w:sz w:val="32"/>
          <w:szCs w:val="32"/>
        </w:rPr>
        <w:t>结论</w:t>
      </w:r>
    </w:p>
    <w:p>
      <w:pPr>
        <w:widowControl/>
        <w:spacing w:beforeLines="50" w:line="600" w:lineRule="exact"/>
        <w:ind w:firstLine="640" w:firstLineChars="200"/>
        <w:rPr>
          <w:rFonts w:ascii="方正楷体_GBK" w:hAnsi="方正楷体_GBK" w:eastAsia="方正楷体_GBK" w:cs="方正楷体_GBK"/>
          <w:kern w:val="0"/>
          <w:sz w:val="32"/>
          <w:szCs w:val="32"/>
        </w:rPr>
      </w:pPr>
      <w:r>
        <w:rPr>
          <w:rFonts w:hint="eastAsia" w:ascii="方正楷体_GBK" w:hAnsi="方正楷体_GBK" w:eastAsia="方正楷体_GBK" w:cs="方正楷体_GBK"/>
          <w:kern w:val="0"/>
          <w:sz w:val="32"/>
          <w:szCs w:val="32"/>
        </w:rPr>
        <w:t>（一）</w:t>
      </w:r>
      <w:r>
        <w:rPr>
          <w:rFonts w:hint="eastAsia" w:ascii="方正仿宋_GBK" w:hAnsi="宋体" w:eastAsia="方正仿宋_GBK" w:cs="宋体"/>
          <w:kern w:val="0"/>
          <w:sz w:val="32"/>
          <w:szCs w:val="32"/>
        </w:rPr>
        <w:t>评价对象、范围</w:t>
      </w:r>
    </w:p>
    <w:p>
      <w:pPr>
        <w:autoSpaceDE w:val="0"/>
        <w:autoSpaceDN w:val="0"/>
        <w:snapToGrid w:val="0"/>
        <w:spacing w:line="560" w:lineRule="exact"/>
        <w:ind w:firstLine="640" w:firstLineChars="200"/>
        <w:rPr>
          <w:rFonts w:eastAsia="方正仿宋_GBK"/>
          <w:sz w:val="32"/>
          <w:szCs w:val="32"/>
        </w:rPr>
      </w:pPr>
      <w:r>
        <w:rPr>
          <w:rFonts w:eastAsia="方正仿宋_GBK"/>
          <w:sz w:val="32"/>
          <w:szCs w:val="32"/>
        </w:rPr>
        <w:t>通过对市</w:t>
      </w:r>
      <w:r>
        <w:rPr>
          <w:rFonts w:hint="eastAsia" w:eastAsia="方正仿宋_GBK"/>
          <w:sz w:val="32"/>
          <w:szCs w:val="32"/>
        </w:rPr>
        <w:t>财政</w:t>
      </w:r>
      <w:r>
        <w:rPr>
          <w:rFonts w:eastAsia="方正仿宋_GBK"/>
          <w:sz w:val="32"/>
          <w:szCs w:val="32"/>
        </w:rPr>
        <w:t>20</w:t>
      </w:r>
      <w:r>
        <w:rPr>
          <w:rFonts w:hint="eastAsia" w:eastAsia="方正仿宋_GBK"/>
          <w:sz w:val="32"/>
          <w:szCs w:val="32"/>
        </w:rPr>
        <w:t>25</w:t>
      </w:r>
      <w:r>
        <w:rPr>
          <w:rFonts w:eastAsia="方正仿宋_GBK"/>
          <w:sz w:val="32"/>
          <w:szCs w:val="32"/>
        </w:rPr>
        <w:t>年度安排我局的预算配置、预算资金管理、资产管理、职责履行、履职效益等内容的绩效考评，提高财政资金的使用效率，为财政部门预算管理提供决策依据。</w:t>
      </w:r>
    </w:p>
    <w:p>
      <w:pPr>
        <w:spacing w:line="560" w:lineRule="exact"/>
        <w:ind w:firstLine="640" w:firstLineChars="200"/>
        <w:rPr>
          <w:rFonts w:ascii="方正仿宋_GBK" w:hAnsi="宋体" w:eastAsia="方正仿宋_GBK" w:cs="宋体"/>
          <w:kern w:val="0"/>
          <w:sz w:val="32"/>
          <w:szCs w:val="32"/>
        </w:rPr>
      </w:pPr>
      <w:r>
        <w:rPr>
          <w:rFonts w:hint="eastAsia" w:ascii="方正仿宋_GBK" w:hAnsi="宋体" w:eastAsia="方正仿宋_GBK" w:cs="宋体"/>
          <w:kern w:val="0"/>
          <w:sz w:val="32"/>
          <w:szCs w:val="32"/>
        </w:rPr>
        <w:t>（二）绩效评价结论</w:t>
      </w:r>
    </w:p>
    <w:p>
      <w:pPr>
        <w:spacing w:line="600" w:lineRule="exact"/>
        <w:ind w:firstLine="640" w:firstLineChars="200"/>
        <w:rPr>
          <w:rFonts w:eastAsia="方正仿宋_GBK"/>
          <w:sz w:val="32"/>
          <w:szCs w:val="32"/>
        </w:rPr>
      </w:pPr>
      <w:r>
        <w:rPr>
          <w:rFonts w:hint="eastAsia" w:eastAsia="方正仿宋_GBK"/>
          <w:sz w:val="32"/>
          <w:szCs w:val="32"/>
        </w:rPr>
        <w:t>2025年，浦口公安在新区党工委、浦口区委的领导下，凝心聚力、只争一流，全力做好保稳定、护发展、安 民生、防风险、强治理各项工作 ，22项核心指标大幅攀升、位居全市前列，工作成效 先后54次获中央、省、市领导批示肯定。自评价综合得分99.9分，</w:t>
      </w:r>
      <w:r>
        <w:rPr>
          <w:rFonts w:hint="eastAsia" w:ascii="方正仿宋_GBK" w:hAnsi="宋体" w:eastAsia="方正仿宋_GBK" w:cs="宋体"/>
          <w:sz w:val="32"/>
          <w:szCs w:val="32"/>
          <w:lang w:val="zh-CN"/>
        </w:rPr>
        <w:t>等级为“优”。</w:t>
      </w:r>
    </w:p>
    <w:p>
      <w:pPr>
        <w:widowControl/>
        <w:spacing w:beforeLines="50" w:line="600" w:lineRule="exact"/>
        <w:ind w:firstLine="640" w:firstLineChars="200"/>
        <w:rPr>
          <w:rFonts w:eastAsia="方正黑体_GBK"/>
          <w:kern w:val="0"/>
          <w:sz w:val="32"/>
          <w:szCs w:val="32"/>
        </w:rPr>
      </w:pPr>
      <w:r>
        <w:rPr>
          <w:rFonts w:eastAsia="方正黑体_GBK"/>
          <w:kern w:val="0"/>
          <w:sz w:val="32"/>
          <w:szCs w:val="32"/>
        </w:rPr>
        <w:t>三、</w:t>
      </w:r>
      <w:r>
        <w:rPr>
          <w:rFonts w:hint="eastAsia" w:eastAsia="方正黑体_GBK"/>
          <w:kern w:val="0"/>
          <w:sz w:val="32"/>
          <w:szCs w:val="32"/>
        </w:rPr>
        <w:t>部门履职成效</w:t>
      </w:r>
    </w:p>
    <w:p>
      <w:pPr>
        <w:spacing w:line="600" w:lineRule="exact"/>
        <w:ind w:firstLine="640" w:firstLineChars="200"/>
        <w:rPr>
          <w:rFonts w:eastAsia="方正仿宋_GBK"/>
          <w:sz w:val="32"/>
          <w:szCs w:val="32"/>
        </w:rPr>
      </w:pPr>
      <w:r>
        <w:rPr>
          <w:rFonts w:hint="eastAsia" w:eastAsia="方正仿宋_GBK"/>
          <w:sz w:val="32"/>
          <w:szCs w:val="32"/>
        </w:rPr>
        <w:t>2025 年浦口公安制定《服务企业优化营商环境八项措施》，建强企业合成服务队 ，召开开发区、高新区、江浦街道“企业议事会 ”，高效办结涉企诉求；破获非法金融案件，侵犯知产犯罪打击成效全市第一，辗转 6 省、14 市侦破国家高新技术企业被盗用品牌案件，为企业挽回巨额损失；摧毁“碰瓷项目工地 ”恶势力团伙，被央视《今日说法》专题报道 。掀起严打偷倒渣土声势，疏堵结合保障夜间经济；打击侵害自然环境、食品药品安全犯罪质态居全市第一，打响公安部“平安原野”专项行动全市“第一枪”；积极探索基层治理，“南审无诈校园”“军地联勤护学”“化解涉农矛盾”等 8 项治理经验在全市推广 ，“平安韧性小区 ”被《新华社分析报告》刊载。浦口马拉松 、北岸跨年等 125 场大型活动做到“无感守护、有感平安、万无一失”；深化毗邻区道路融通管理，保障全域内外常态畅通 、文旅景点畅达有序；巩固高频户籍事项跨省“通办”，“联动共治苏皖乌江站”案例获评国家级竞赛一等奖；全市首家推进机动车禁区通行证“一证通行”，对“专精特新 ”企业引进人才提供“一对一”精准服务。</w:t>
      </w:r>
    </w:p>
    <w:p>
      <w:pPr>
        <w:spacing w:line="600" w:lineRule="exact"/>
        <w:ind w:firstLine="640" w:firstLineChars="200"/>
        <w:rPr>
          <w:rFonts w:eastAsia="黑体"/>
          <w:kern w:val="0"/>
          <w:sz w:val="32"/>
          <w:szCs w:val="32"/>
        </w:rPr>
      </w:pPr>
      <w:r>
        <w:rPr>
          <w:rFonts w:eastAsia="黑体"/>
          <w:kern w:val="0"/>
          <w:sz w:val="32"/>
          <w:szCs w:val="32"/>
        </w:rPr>
        <w:t>四、存在问题及原因分析</w:t>
      </w:r>
    </w:p>
    <w:p>
      <w:pPr>
        <w:spacing w:line="600" w:lineRule="exact"/>
        <w:ind w:firstLine="640" w:firstLineChars="200"/>
        <w:rPr>
          <w:rFonts w:eastAsia="方正仿宋_GBK"/>
          <w:sz w:val="32"/>
          <w:szCs w:val="32"/>
        </w:rPr>
      </w:pPr>
      <w:r>
        <w:rPr>
          <w:rFonts w:hint="eastAsia" w:eastAsia="方正仿宋_GBK"/>
          <w:sz w:val="32"/>
          <w:szCs w:val="32"/>
        </w:rPr>
        <w:t>一是事前绩效评估机制相对薄弱。受预算编制周期紧、项目前期准备不足等客观因素影响，评审工作往往存在程序简化、论证粗糙的情况，难以做到对绩效目标的科学论证，事前评估与绩效目标严重脱节，导致后续执行难度加大。</w:t>
      </w:r>
    </w:p>
    <w:p>
      <w:pPr>
        <w:spacing w:line="600" w:lineRule="exact"/>
        <w:ind w:firstLine="640" w:firstLineChars="200"/>
        <w:rPr>
          <w:rFonts w:ascii="黑体" w:hAnsi="黑体" w:eastAsia="黑体" w:cs="黑体"/>
          <w:sz w:val="30"/>
          <w:szCs w:val="30"/>
        </w:rPr>
      </w:pPr>
      <w:r>
        <w:rPr>
          <w:rFonts w:hint="eastAsia" w:eastAsia="方正仿宋_GBK"/>
          <w:sz w:val="32"/>
          <w:szCs w:val="32"/>
        </w:rPr>
        <w:t>二是绩效运行监控不够协同。监控工作仍停留在预算执行进度的单一维度，未将绩效目标的实现程度与预算执行进度动态挂钩，缺乏对执行过程的全链条、精细化监控，信息反馈不及时。</w:t>
      </w:r>
    </w:p>
    <w:p>
      <w:pPr>
        <w:spacing w:beforeLines="50" w:line="600" w:lineRule="exact"/>
        <w:ind w:firstLine="640" w:firstLineChars="200"/>
        <w:rPr>
          <w:rFonts w:eastAsia="黑体"/>
          <w:kern w:val="0"/>
          <w:sz w:val="32"/>
          <w:szCs w:val="32"/>
        </w:rPr>
      </w:pPr>
      <w:r>
        <w:rPr>
          <w:rFonts w:eastAsia="黑体"/>
          <w:kern w:val="0"/>
          <w:sz w:val="32"/>
          <w:szCs w:val="32"/>
        </w:rPr>
        <w:t>五、有关建议</w:t>
      </w:r>
    </w:p>
    <w:p>
      <w:pPr>
        <w:spacing w:line="600" w:lineRule="exact"/>
        <w:ind w:firstLine="640" w:firstLineChars="200"/>
        <w:rPr>
          <w:rFonts w:eastAsia="方正仿宋_GBK"/>
          <w:sz w:val="32"/>
          <w:szCs w:val="32"/>
        </w:rPr>
      </w:pPr>
      <w:r>
        <w:rPr>
          <w:rFonts w:hint="eastAsia" w:eastAsia="方正仿宋_GBK"/>
          <w:sz w:val="32"/>
          <w:szCs w:val="32"/>
        </w:rPr>
        <w:t>（一）强化技术支撑，提升信息化应用水平</w:t>
      </w:r>
    </w:p>
    <w:p>
      <w:pPr>
        <w:spacing w:line="600" w:lineRule="exact"/>
        <w:ind w:firstLine="640" w:firstLineChars="200"/>
        <w:rPr>
          <w:rFonts w:eastAsia="方正仿宋_GBK"/>
          <w:sz w:val="32"/>
          <w:szCs w:val="32"/>
        </w:rPr>
      </w:pPr>
      <w:r>
        <w:rPr>
          <w:rFonts w:hint="eastAsia" w:eastAsia="方正仿宋_GBK"/>
          <w:sz w:val="32"/>
          <w:szCs w:val="32"/>
        </w:rPr>
        <w:t>加快推进绩效管理信息化系统建设，优化数据接口与流程设计，通过系统自动校验、数据比对等功能，减少人工填报误差，提升数据质量与传输效率。</w:t>
      </w:r>
    </w:p>
    <w:p>
      <w:pPr>
        <w:spacing w:line="600" w:lineRule="exact"/>
        <w:ind w:firstLine="640" w:firstLineChars="200"/>
        <w:rPr>
          <w:rFonts w:eastAsia="方正仿宋_GBK"/>
          <w:sz w:val="32"/>
          <w:szCs w:val="32"/>
        </w:rPr>
      </w:pPr>
      <w:r>
        <w:rPr>
          <w:rFonts w:hint="eastAsia" w:eastAsia="方正仿宋_GBK"/>
          <w:sz w:val="32"/>
          <w:szCs w:val="32"/>
        </w:rPr>
        <w:t>（二）深化能力建设，构建专业指导体系</w:t>
      </w:r>
    </w:p>
    <w:p>
      <w:pPr>
        <w:spacing w:line="600" w:lineRule="exact"/>
        <w:ind w:firstLine="640" w:firstLineChars="200"/>
        <w:rPr>
          <w:rFonts w:eastAsia="方正仿宋_GBK"/>
          <w:sz w:val="32"/>
          <w:szCs w:val="32"/>
        </w:rPr>
      </w:pPr>
      <w:r>
        <w:rPr>
          <w:rFonts w:hint="eastAsia" w:eastAsia="方正仿宋_GBK"/>
          <w:sz w:val="32"/>
          <w:szCs w:val="32"/>
        </w:rPr>
        <w:t>一方面，常态化组织财务人员开展绩效管理专题培训与经验交流，精准掌握政策要求与操作规范；另一方面，积极引入第三方专业机构力量，结合各单位业务实际，提供精细化政策指导与技术支持，细化考核指标体系，切实推动绩效管理从“形式”向“实效”转变。</w:t>
      </w:r>
    </w:p>
    <w:p>
      <w:pPr>
        <w:spacing w:line="560" w:lineRule="exact"/>
        <w:ind w:firstLine="640" w:firstLineChars="200"/>
        <w:rPr>
          <w:rFonts w:ascii="方正黑体_GBK" w:hAnsi="宋体" w:eastAsia="方正黑体_GBK" w:cs="宋体"/>
          <w:sz w:val="32"/>
          <w:szCs w:val="32"/>
        </w:rPr>
      </w:pPr>
      <w:r>
        <w:rPr>
          <w:rFonts w:hint="eastAsia" w:ascii="方正黑体_GBK" w:hAnsi="宋体" w:eastAsia="方正黑体_GBK" w:cs="宋体"/>
          <w:sz w:val="32"/>
          <w:szCs w:val="32"/>
        </w:rPr>
        <w:t>六、评价工作开展情况及其他需要说明的情况</w:t>
      </w:r>
    </w:p>
    <w:p>
      <w:pPr>
        <w:widowControl/>
        <w:ind w:firstLine="579" w:firstLineChars="181"/>
        <w:jc w:val="left"/>
        <w:rPr>
          <w:rFonts w:eastAsia="方正仿宋_GBK"/>
          <w:sz w:val="32"/>
          <w:szCs w:val="32"/>
        </w:rPr>
      </w:pPr>
      <w:r>
        <w:rPr>
          <w:rFonts w:eastAsia="方正仿宋_GBK"/>
          <w:sz w:val="32"/>
          <w:szCs w:val="32"/>
        </w:rPr>
        <w:t>（一）绩效评价工作情况</w:t>
      </w:r>
    </w:p>
    <w:p>
      <w:pPr>
        <w:widowControl/>
        <w:ind w:firstLine="579" w:firstLineChars="181"/>
        <w:jc w:val="left"/>
        <w:rPr>
          <w:rFonts w:eastAsia="方正仿宋_GBK"/>
          <w:sz w:val="32"/>
          <w:szCs w:val="32"/>
        </w:rPr>
      </w:pPr>
      <w:r>
        <w:rPr>
          <w:rFonts w:eastAsia="方正仿宋_GBK"/>
          <w:sz w:val="32"/>
          <w:szCs w:val="32"/>
        </w:rPr>
        <w:t>1.评价思路及方法</w:t>
      </w:r>
    </w:p>
    <w:p>
      <w:pPr>
        <w:widowControl/>
        <w:ind w:firstLine="579" w:firstLineChars="181"/>
        <w:jc w:val="left"/>
        <w:rPr>
          <w:rFonts w:eastAsia="方正仿宋_GBK"/>
          <w:sz w:val="32"/>
          <w:szCs w:val="32"/>
        </w:rPr>
      </w:pPr>
      <w:r>
        <w:rPr>
          <w:rFonts w:eastAsia="方正仿宋_GBK"/>
          <w:sz w:val="32"/>
          <w:szCs w:val="32"/>
        </w:rPr>
        <w:t>本着客观公正、实事求是的原则，对照全年绩效目标，采用因素分析法、投入产出效益分析法、比较法等方法，围绕预算资金管理、职责履行、履职效益等内容进行全面、客观、公正的绩效考评。</w:t>
      </w:r>
    </w:p>
    <w:p>
      <w:pPr>
        <w:widowControl/>
        <w:ind w:firstLine="640" w:firstLineChars="200"/>
        <w:jc w:val="left"/>
        <w:rPr>
          <w:rFonts w:eastAsia="方正仿宋_GBK"/>
          <w:sz w:val="32"/>
          <w:szCs w:val="32"/>
        </w:rPr>
      </w:pPr>
      <w:r>
        <w:rPr>
          <w:rFonts w:eastAsia="方正仿宋_GBK"/>
          <w:sz w:val="32"/>
          <w:szCs w:val="32"/>
        </w:rPr>
        <w:t>2.评价组织及分工</w:t>
      </w:r>
    </w:p>
    <w:p>
      <w:pPr>
        <w:widowControl/>
        <w:ind w:firstLine="640" w:firstLineChars="200"/>
        <w:jc w:val="left"/>
        <w:rPr>
          <w:rFonts w:eastAsia="方正仿宋_GBK"/>
          <w:sz w:val="32"/>
          <w:szCs w:val="32"/>
        </w:rPr>
      </w:pPr>
      <w:r>
        <w:rPr>
          <w:rFonts w:eastAsia="方正仿宋_GBK"/>
          <w:sz w:val="32"/>
          <w:szCs w:val="32"/>
        </w:rPr>
        <w:t>我单位建立了以</w:t>
      </w:r>
      <w:r>
        <w:rPr>
          <w:rFonts w:hint="eastAsia" w:eastAsia="方正仿宋_GBK"/>
          <w:sz w:val="32"/>
          <w:szCs w:val="32"/>
        </w:rPr>
        <w:t>分局局长</w:t>
      </w:r>
      <w:r>
        <w:rPr>
          <w:rFonts w:eastAsia="方正仿宋_GBK"/>
          <w:sz w:val="32"/>
          <w:szCs w:val="32"/>
        </w:rPr>
        <w:t>为</w:t>
      </w:r>
      <w:r>
        <w:rPr>
          <w:rFonts w:hint="eastAsia" w:eastAsia="方正仿宋_GBK"/>
          <w:sz w:val="32"/>
          <w:szCs w:val="32"/>
        </w:rPr>
        <w:t>评价组长</w:t>
      </w:r>
      <w:r>
        <w:rPr>
          <w:rFonts w:eastAsia="方正仿宋_GBK"/>
          <w:sz w:val="32"/>
          <w:szCs w:val="32"/>
        </w:rPr>
        <w:t>，分管领导为事项主评人，政工室、情报指挥中心、警务保障室、督察审计大队、法制大队</w:t>
      </w:r>
      <w:r>
        <w:rPr>
          <w:rFonts w:hint="eastAsia" w:eastAsia="方正仿宋_GBK"/>
          <w:sz w:val="32"/>
          <w:szCs w:val="32"/>
        </w:rPr>
        <w:t>为</w:t>
      </w:r>
      <w:r>
        <w:rPr>
          <w:rFonts w:eastAsia="方正仿宋_GBK"/>
          <w:sz w:val="32"/>
          <w:szCs w:val="32"/>
        </w:rPr>
        <w:t>主要负责人为组员的评价小组，并明确组长和组员的工作职责。</w:t>
      </w:r>
    </w:p>
    <w:p>
      <w:pPr>
        <w:widowControl/>
        <w:ind w:firstLine="640" w:firstLineChars="200"/>
        <w:jc w:val="left"/>
        <w:rPr>
          <w:rFonts w:eastAsia="方正仿宋_GBK"/>
          <w:sz w:val="32"/>
          <w:szCs w:val="32"/>
        </w:rPr>
      </w:pPr>
      <w:r>
        <w:rPr>
          <w:rFonts w:eastAsia="方正仿宋_GBK"/>
          <w:sz w:val="32"/>
          <w:szCs w:val="32"/>
        </w:rPr>
        <w:t>3.评价过程</w:t>
      </w:r>
    </w:p>
    <w:p>
      <w:pPr>
        <w:widowControl/>
        <w:ind w:firstLine="640" w:firstLineChars="200"/>
        <w:jc w:val="left"/>
        <w:rPr>
          <w:rFonts w:eastAsia="方正仿宋_GBK"/>
          <w:sz w:val="32"/>
          <w:szCs w:val="32"/>
        </w:rPr>
      </w:pPr>
      <w:r>
        <w:rPr>
          <w:rFonts w:eastAsia="方正仿宋_GBK"/>
          <w:sz w:val="32"/>
          <w:szCs w:val="32"/>
        </w:rPr>
        <w:t>采用自下而上的评价过程。各内设机构先组织开展自评，将自评结果上报分局评价小组。评价小组结合自评结果开展综合评价并形成评价报告。</w:t>
      </w:r>
    </w:p>
    <w:p>
      <w:pPr>
        <w:widowControl/>
        <w:ind w:firstLine="640" w:firstLineChars="200"/>
        <w:jc w:val="left"/>
        <w:rPr>
          <w:rFonts w:eastAsia="方正仿宋_GBK"/>
          <w:sz w:val="32"/>
          <w:szCs w:val="32"/>
        </w:rPr>
      </w:pPr>
      <w:r>
        <w:rPr>
          <w:rFonts w:eastAsia="方正仿宋_GBK"/>
          <w:sz w:val="32"/>
          <w:szCs w:val="32"/>
        </w:rPr>
        <w:t>4.评价指标体系</w:t>
      </w:r>
    </w:p>
    <w:p>
      <w:pPr>
        <w:widowControl/>
        <w:ind w:firstLine="640" w:firstLineChars="200"/>
        <w:jc w:val="left"/>
        <w:rPr>
          <w:rFonts w:eastAsia="方正仿宋_GBK"/>
          <w:sz w:val="32"/>
          <w:szCs w:val="32"/>
        </w:rPr>
      </w:pPr>
      <w:r>
        <w:rPr>
          <w:rFonts w:eastAsia="方正仿宋_GBK"/>
          <w:sz w:val="32"/>
          <w:szCs w:val="32"/>
        </w:rPr>
        <w:t>2025年</w:t>
      </w:r>
      <w:r>
        <w:rPr>
          <w:rFonts w:eastAsia="方正仿宋_GBK"/>
          <w:color w:val="000000"/>
          <w:sz w:val="32"/>
          <w:szCs w:val="32"/>
          <w:shd w:val="clear" w:color="auto" w:fill="FFFFFF"/>
        </w:rPr>
        <w:t>南京市公安局</w:t>
      </w:r>
      <w:r>
        <w:rPr>
          <w:rFonts w:hint="eastAsia" w:eastAsia="方正仿宋_GBK"/>
          <w:color w:val="000000"/>
          <w:sz w:val="32"/>
          <w:szCs w:val="32"/>
          <w:shd w:val="clear" w:color="auto" w:fill="FFFFFF"/>
        </w:rPr>
        <w:t>浦口</w:t>
      </w:r>
      <w:r>
        <w:rPr>
          <w:rFonts w:eastAsia="方正仿宋_GBK"/>
          <w:color w:val="000000"/>
          <w:sz w:val="32"/>
          <w:szCs w:val="32"/>
          <w:shd w:val="clear" w:color="auto" w:fill="FFFFFF"/>
        </w:rPr>
        <w:t>分局</w:t>
      </w:r>
      <w:r>
        <w:rPr>
          <w:rFonts w:eastAsia="方正仿宋_GBK"/>
          <w:sz w:val="32"/>
          <w:szCs w:val="32"/>
        </w:rPr>
        <w:t>部门整体绩效评价指标体系共设计5个一级指标，1</w:t>
      </w:r>
      <w:r>
        <w:rPr>
          <w:rFonts w:hint="eastAsia" w:eastAsia="方正仿宋_GBK"/>
          <w:sz w:val="32"/>
          <w:szCs w:val="32"/>
        </w:rPr>
        <w:t>2</w:t>
      </w:r>
      <w:r>
        <w:rPr>
          <w:rFonts w:eastAsia="方正仿宋_GBK"/>
          <w:sz w:val="32"/>
          <w:szCs w:val="32"/>
        </w:rPr>
        <w:t>个二级指标，</w:t>
      </w:r>
      <w:r>
        <w:rPr>
          <w:rFonts w:hint="eastAsia" w:eastAsia="方正仿宋_GBK"/>
          <w:sz w:val="32"/>
          <w:szCs w:val="32"/>
        </w:rPr>
        <w:t>37</w:t>
      </w:r>
      <w:r>
        <w:rPr>
          <w:rFonts w:eastAsia="方正仿宋_GBK"/>
          <w:sz w:val="32"/>
          <w:szCs w:val="32"/>
        </w:rPr>
        <w:t>个三级指标。</w:t>
      </w:r>
    </w:p>
    <w:p>
      <w:pPr>
        <w:widowControl/>
        <w:ind w:firstLine="579" w:firstLineChars="181"/>
        <w:jc w:val="left"/>
        <w:rPr>
          <w:rFonts w:eastAsia="方正仿宋_GBK"/>
          <w:sz w:val="32"/>
          <w:szCs w:val="32"/>
        </w:rPr>
      </w:pPr>
      <w:r>
        <w:rPr>
          <w:rFonts w:eastAsia="方正仿宋_GBK"/>
          <w:sz w:val="32"/>
          <w:szCs w:val="32"/>
        </w:rPr>
        <w:t>（二）其他需要说明的情况</w:t>
      </w:r>
    </w:p>
    <w:p>
      <w:pPr>
        <w:spacing w:line="560" w:lineRule="exact"/>
        <w:ind w:firstLine="640" w:firstLineChars="200"/>
        <w:rPr>
          <w:rFonts w:ascii="方正仿宋_GBK" w:hAnsi="宋体" w:eastAsia="方正仿宋_GBK"/>
          <w:sz w:val="32"/>
          <w:szCs w:val="32"/>
        </w:rPr>
      </w:pPr>
      <w:r>
        <w:rPr>
          <w:rFonts w:hint="eastAsia" w:ascii="方正仿宋_GBK" w:hAnsi="宋体" w:eastAsia="方正仿宋_GBK"/>
          <w:sz w:val="32"/>
          <w:szCs w:val="32"/>
        </w:rPr>
        <w:t>评价工作按时间有序开展，无其他需要说明情况。</w:t>
      </w:r>
    </w:p>
    <w:p>
      <w:pPr>
        <w:pStyle w:val="2"/>
      </w:pPr>
    </w:p>
    <w:p>
      <w:pPr>
        <w:jc w:val="center"/>
        <w:rPr>
          <w:rFonts w:ascii="方正仿宋_GBK" w:hAnsi="宋体" w:eastAsia="方正仿宋_GBK"/>
          <w:sz w:val="32"/>
          <w:szCs w:val="32"/>
        </w:rPr>
      </w:pPr>
    </w:p>
    <w:p>
      <w:pPr>
        <w:jc w:val="center"/>
        <w:rPr>
          <w:rFonts w:ascii="方正仿宋_GBK" w:hAnsi="宋体" w:eastAsia="方正仿宋_GBK"/>
          <w:sz w:val="32"/>
          <w:szCs w:val="32"/>
        </w:rPr>
      </w:pPr>
    </w:p>
    <w:p>
      <w:pPr>
        <w:jc w:val="center"/>
        <w:rPr>
          <w:rFonts w:ascii="方正仿宋_GBK" w:hAnsi="宋体" w:eastAsia="方正仿宋_GBK"/>
          <w:sz w:val="32"/>
          <w:szCs w:val="32"/>
        </w:rPr>
        <w:sectPr>
          <w:pgSz w:w="11900" w:h="16820"/>
          <w:pgMar w:top="1440" w:right="1800" w:bottom="1440" w:left="1800" w:header="0" w:footer="0" w:gutter="0"/>
          <w:cols w:space="720" w:num="1"/>
          <w:docGrid w:linePitch="286" w:charSpace="0"/>
        </w:sectPr>
      </w:pPr>
      <w:r>
        <w:rPr>
          <w:rFonts w:hint="eastAsia" w:ascii="方正仿宋_GBK" w:hAnsi="宋体" w:eastAsia="方正仿宋_GBK"/>
          <w:sz w:val="32"/>
          <w:szCs w:val="32"/>
        </w:rPr>
        <w:t>附件：南京市公安局浦口分局部门整体绩效评价指标体系</w:t>
      </w:r>
    </w:p>
    <w:p>
      <w:pPr>
        <w:jc w:val="center"/>
      </w:pPr>
      <w:r>
        <w:rPr>
          <w:rFonts w:hint="eastAsia" w:ascii="方正小标宋简体" w:eastAsia="方正小标宋简体"/>
          <w:sz w:val="36"/>
          <w:szCs w:val="36"/>
        </w:rPr>
        <w:t>南京市公安局浦口分局部门整体绩效评价指标体系</w:t>
      </w:r>
    </w:p>
    <w:tbl>
      <w:tblPr>
        <w:tblStyle w:val="8"/>
        <w:tblW w:w="15428" w:type="dxa"/>
        <w:tblInd w:w="0" w:type="dxa"/>
        <w:tblLayout w:type="fixed"/>
        <w:tblCellMar>
          <w:top w:w="0" w:type="dxa"/>
          <w:left w:w="15" w:type="dxa"/>
          <w:bottom w:w="0" w:type="dxa"/>
          <w:right w:w="15" w:type="dxa"/>
        </w:tblCellMar>
      </w:tblPr>
      <w:tblGrid>
        <w:gridCol w:w="1228"/>
        <w:gridCol w:w="3669"/>
        <w:gridCol w:w="86"/>
        <w:gridCol w:w="2259"/>
        <w:gridCol w:w="926"/>
        <w:gridCol w:w="3015"/>
        <w:gridCol w:w="2123"/>
        <w:gridCol w:w="1061"/>
        <w:gridCol w:w="1061"/>
      </w:tblGrid>
      <w:tr>
        <w:tblPrEx>
          <w:tblLayout w:type="fixed"/>
          <w:tblCellMar>
            <w:top w:w="0" w:type="dxa"/>
            <w:left w:w="15" w:type="dxa"/>
            <w:bottom w:w="0" w:type="dxa"/>
            <w:right w:w="15" w:type="dxa"/>
          </w:tblCellMar>
        </w:tblPrEx>
        <w:trPr>
          <w:trHeight w:val="285" w:hRule="atLeast"/>
        </w:trPr>
        <w:tc>
          <w:tcPr>
            <w:tcW w:w="1228"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ascii="宋体" w:hAnsi="宋体"/>
                <w:color w:val="000000"/>
                <w:sz w:val="18"/>
              </w:rPr>
            </w:pPr>
            <w:r>
              <w:rPr>
                <w:rFonts w:ascii="宋体" w:hAnsi="宋体"/>
                <w:color w:val="000000"/>
                <w:sz w:val="18"/>
              </w:rPr>
              <w:t>一级指标</w:t>
            </w:r>
          </w:p>
        </w:tc>
        <w:tc>
          <w:tcPr>
            <w:tcW w:w="3755" w:type="dxa"/>
            <w:gridSpan w:val="2"/>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ascii="宋体" w:hAnsi="宋体"/>
                <w:color w:val="000000"/>
                <w:sz w:val="18"/>
              </w:rPr>
            </w:pPr>
            <w:r>
              <w:rPr>
                <w:rFonts w:ascii="宋体" w:hAnsi="宋体"/>
                <w:color w:val="000000"/>
                <w:sz w:val="18"/>
              </w:rPr>
              <w:t>二级指标</w:t>
            </w:r>
          </w:p>
        </w:tc>
        <w:tc>
          <w:tcPr>
            <w:tcW w:w="2259"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ascii="宋体" w:hAnsi="宋体"/>
                <w:color w:val="000000"/>
                <w:sz w:val="18"/>
              </w:rPr>
            </w:pPr>
            <w:r>
              <w:rPr>
                <w:rFonts w:ascii="宋体" w:hAnsi="宋体"/>
                <w:color w:val="000000"/>
                <w:sz w:val="18"/>
              </w:rPr>
              <w:t>三级指标</w:t>
            </w:r>
          </w:p>
        </w:tc>
        <w:tc>
          <w:tcPr>
            <w:tcW w:w="926"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ascii="宋体" w:hAnsi="宋体"/>
                <w:color w:val="000000"/>
                <w:sz w:val="18"/>
              </w:rPr>
            </w:pPr>
            <w:r>
              <w:rPr>
                <w:rFonts w:ascii="宋体" w:hAnsi="宋体"/>
                <w:color w:val="000000"/>
                <w:sz w:val="18"/>
              </w:rPr>
              <w:t>标准值</w:t>
            </w:r>
          </w:p>
        </w:tc>
        <w:tc>
          <w:tcPr>
            <w:tcW w:w="3015" w:type="dxa"/>
            <w:tcBorders>
              <w:top w:val="single" w:color="000000" w:sz="4" w:space="0"/>
              <w:left w:val="single" w:color="000000" w:sz="4" w:space="0"/>
              <w:right w:val="single" w:color="000000" w:sz="4" w:space="0"/>
            </w:tcBorders>
            <w:vAlign w:val="center"/>
          </w:tcPr>
          <w:p>
            <w:pPr>
              <w:autoSpaceDN w:val="0"/>
              <w:jc w:val="center"/>
              <w:textAlignment w:val="center"/>
              <w:rPr>
                <w:rFonts w:ascii="宋体" w:hAnsi="宋体"/>
                <w:color w:val="000000"/>
                <w:sz w:val="18"/>
              </w:rPr>
            </w:pPr>
            <w:r>
              <w:rPr>
                <w:rFonts w:ascii="宋体" w:hAnsi="宋体"/>
                <w:color w:val="000000"/>
                <w:sz w:val="18"/>
              </w:rPr>
              <w:t>评分标准</w:t>
            </w:r>
          </w:p>
        </w:tc>
        <w:tc>
          <w:tcPr>
            <w:tcW w:w="2123" w:type="dxa"/>
            <w:tcBorders>
              <w:top w:val="single" w:color="000000" w:sz="4" w:space="0"/>
              <w:left w:val="single" w:color="000000" w:sz="4" w:space="0"/>
              <w:right w:val="single" w:color="000000" w:sz="4" w:space="0"/>
            </w:tcBorders>
            <w:vAlign w:val="center"/>
          </w:tcPr>
          <w:p>
            <w:pPr>
              <w:autoSpaceDN w:val="0"/>
              <w:jc w:val="center"/>
              <w:textAlignment w:val="center"/>
              <w:rPr>
                <w:rFonts w:ascii="宋体" w:hAnsi="宋体"/>
                <w:color w:val="000000"/>
                <w:sz w:val="18"/>
              </w:rPr>
            </w:pPr>
            <w:r>
              <w:rPr>
                <w:rFonts w:ascii="宋体" w:hAnsi="宋体"/>
                <w:color w:val="000000"/>
                <w:sz w:val="18"/>
              </w:rPr>
              <w:t>评分过程</w:t>
            </w:r>
          </w:p>
        </w:tc>
        <w:tc>
          <w:tcPr>
            <w:tcW w:w="1061" w:type="dxa"/>
            <w:tcBorders>
              <w:top w:val="single" w:color="000000" w:sz="4" w:space="0"/>
              <w:left w:val="single" w:color="000000" w:sz="4" w:space="0"/>
              <w:right w:val="single" w:color="000000" w:sz="4" w:space="0"/>
            </w:tcBorders>
            <w:vAlign w:val="center"/>
          </w:tcPr>
          <w:p>
            <w:pPr>
              <w:autoSpaceDN w:val="0"/>
              <w:jc w:val="center"/>
              <w:textAlignment w:val="center"/>
              <w:rPr>
                <w:rFonts w:ascii="宋体" w:hAnsi="宋体"/>
                <w:color w:val="000000"/>
                <w:sz w:val="20"/>
              </w:rPr>
            </w:pPr>
            <w:r>
              <w:rPr>
                <w:rFonts w:ascii="宋体" w:hAnsi="宋体"/>
                <w:color w:val="000000"/>
                <w:sz w:val="20"/>
              </w:rPr>
              <w:t>权重</w:t>
            </w:r>
          </w:p>
        </w:tc>
        <w:tc>
          <w:tcPr>
            <w:tcW w:w="1061" w:type="dxa"/>
            <w:tcBorders>
              <w:top w:val="single" w:color="000000" w:sz="4" w:space="0"/>
              <w:left w:val="single" w:color="000000" w:sz="4" w:space="0"/>
              <w:right w:val="single" w:color="000000" w:sz="4" w:space="0"/>
            </w:tcBorders>
            <w:vAlign w:val="center"/>
          </w:tcPr>
          <w:p>
            <w:pPr>
              <w:autoSpaceDN w:val="0"/>
              <w:jc w:val="center"/>
              <w:textAlignment w:val="center"/>
              <w:rPr>
                <w:rFonts w:ascii="宋体" w:hAnsi="宋体"/>
                <w:color w:val="000000"/>
                <w:sz w:val="20"/>
              </w:rPr>
            </w:pPr>
            <w:r>
              <w:rPr>
                <w:rFonts w:ascii="宋体" w:hAnsi="宋体"/>
                <w:color w:val="000000"/>
                <w:sz w:val="20"/>
              </w:rPr>
              <w:t>得分</w:t>
            </w:r>
          </w:p>
        </w:tc>
      </w:tr>
      <w:tr>
        <w:tblPrEx>
          <w:tblLayout w:type="fixed"/>
          <w:tblCellMar>
            <w:top w:w="0" w:type="dxa"/>
            <w:left w:w="15" w:type="dxa"/>
            <w:bottom w:w="0" w:type="dxa"/>
            <w:right w:w="15" w:type="dxa"/>
          </w:tblCellMar>
        </w:tblPrEx>
        <w:trPr>
          <w:trHeight w:val="450" w:hRule="atLeast"/>
        </w:trPr>
        <w:tc>
          <w:tcPr>
            <w:tcW w:w="1228" w:type="dxa"/>
            <w:vMerge w:val="restart"/>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ascii="宋体" w:hAnsi="宋体"/>
                <w:color w:val="000000"/>
                <w:sz w:val="18"/>
              </w:rPr>
            </w:pPr>
            <w:r>
              <w:rPr>
                <w:rFonts w:ascii="宋体" w:hAnsi="宋体"/>
                <w:color w:val="000000"/>
                <w:sz w:val="18"/>
              </w:rPr>
              <w:t>决策</w:t>
            </w:r>
          </w:p>
        </w:tc>
        <w:tc>
          <w:tcPr>
            <w:tcW w:w="3755" w:type="dxa"/>
            <w:gridSpan w:val="2"/>
            <w:vMerge w:val="restart"/>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ascii="宋体" w:hAnsi="宋体"/>
                <w:color w:val="000000"/>
                <w:sz w:val="18"/>
              </w:rPr>
            </w:pPr>
            <w:r>
              <w:rPr>
                <w:rFonts w:ascii="宋体" w:hAnsi="宋体"/>
                <w:color w:val="000000"/>
                <w:sz w:val="18"/>
              </w:rPr>
              <w:t>计划制定</w:t>
            </w:r>
          </w:p>
        </w:tc>
        <w:tc>
          <w:tcPr>
            <w:tcW w:w="2259"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ascii="宋体" w:hAnsi="宋体"/>
                <w:color w:val="000000"/>
                <w:sz w:val="18"/>
              </w:rPr>
            </w:pPr>
            <w:r>
              <w:rPr>
                <w:rFonts w:ascii="宋体" w:hAnsi="宋体"/>
                <w:color w:val="000000"/>
                <w:sz w:val="18"/>
              </w:rPr>
              <w:t>中长期规划制定健全性</w:t>
            </w:r>
          </w:p>
        </w:tc>
        <w:tc>
          <w:tcPr>
            <w:tcW w:w="926"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ascii="宋体" w:hAnsi="宋体"/>
                <w:color w:val="000000"/>
                <w:sz w:val="18"/>
              </w:rPr>
            </w:pPr>
            <w:r>
              <w:rPr>
                <w:rFonts w:ascii="宋体" w:hAnsi="宋体"/>
                <w:color w:val="000000"/>
                <w:sz w:val="18"/>
              </w:rPr>
              <w:t>健全</w:t>
            </w:r>
          </w:p>
        </w:tc>
        <w:tc>
          <w:tcPr>
            <w:tcW w:w="3015"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ascii="宋体" w:hAnsi="宋体"/>
                <w:color w:val="000000"/>
                <w:sz w:val="18"/>
              </w:rPr>
            </w:pPr>
            <w:r>
              <w:rPr>
                <w:rFonts w:ascii="宋体" w:hAnsi="宋体"/>
                <w:color w:val="000000"/>
                <w:sz w:val="18"/>
              </w:rPr>
              <w:t>单位中长期规划是否明确（1分），科学（1分）</w:t>
            </w:r>
          </w:p>
        </w:tc>
        <w:tc>
          <w:tcPr>
            <w:tcW w:w="2123"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ascii="宋体" w:hAnsi="宋体"/>
                <w:color w:val="000000"/>
                <w:sz w:val="18"/>
              </w:rPr>
            </w:pPr>
            <w:r>
              <w:rPr>
                <w:rFonts w:ascii="宋体" w:hAnsi="宋体"/>
                <w:color w:val="000000"/>
                <w:sz w:val="18"/>
              </w:rPr>
              <w:t>单位中长期规划明确、科学，得2分</w:t>
            </w:r>
          </w:p>
        </w:tc>
        <w:tc>
          <w:tcPr>
            <w:tcW w:w="1061"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ascii="宋体" w:hAnsi="宋体"/>
                <w:color w:val="000000"/>
                <w:sz w:val="18"/>
              </w:rPr>
            </w:pPr>
            <w:r>
              <w:rPr>
                <w:rFonts w:ascii="宋体" w:hAnsi="宋体"/>
                <w:color w:val="000000"/>
                <w:sz w:val="18"/>
              </w:rPr>
              <w:t>2</w:t>
            </w:r>
          </w:p>
        </w:tc>
        <w:tc>
          <w:tcPr>
            <w:tcW w:w="1061"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ascii="宋体" w:hAnsi="宋体"/>
                <w:color w:val="000000"/>
                <w:sz w:val="18"/>
              </w:rPr>
            </w:pPr>
            <w:r>
              <w:rPr>
                <w:rFonts w:hint="eastAsia" w:ascii="宋体" w:hAnsi="宋体"/>
                <w:color w:val="000000"/>
                <w:sz w:val="18"/>
              </w:rPr>
              <w:t>2</w:t>
            </w:r>
          </w:p>
        </w:tc>
      </w:tr>
      <w:tr>
        <w:tblPrEx>
          <w:tblLayout w:type="fixed"/>
          <w:tblCellMar>
            <w:top w:w="0" w:type="dxa"/>
            <w:left w:w="15" w:type="dxa"/>
            <w:bottom w:w="0" w:type="dxa"/>
            <w:right w:w="15" w:type="dxa"/>
          </w:tblCellMar>
        </w:tblPrEx>
        <w:trPr>
          <w:trHeight w:val="675" w:hRule="atLeast"/>
        </w:trPr>
        <w:tc>
          <w:tcPr>
            <w:tcW w:w="1228" w:type="dxa"/>
            <w:vMerge w:val="continue"/>
            <w:tcBorders>
              <w:top w:val="single" w:color="000000" w:sz="4" w:space="0"/>
              <w:left w:val="single" w:color="000000" w:sz="4" w:space="0"/>
              <w:bottom w:val="single" w:color="000000" w:sz="4" w:space="0"/>
              <w:right w:val="single" w:color="000000" w:sz="4" w:space="0"/>
            </w:tcBorders>
            <w:vAlign w:val="center"/>
          </w:tcPr>
          <w:p>
            <w:pPr>
              <w:rPr>
                <w:rFonts w:ascii="宋体" w:hAnsi="宋体"/>
                <w:sz w:val="24"/>
              </w:rPr>
            </w:pPr>
          </w:p>
        </w:tc>
        <w:tc>
          <w:tcPr>
            <w:tcW w:w="3755" w:type="dxa"/>
            <w:gridSpan w:val="2"/>
            <w:vMerge w:val="continue"/>
            <w:tcBorders>
              <w:top w:val="single" w:color="000000" w:sz="4" w:space="0"/>
              <w:left w:val="single" w:color="000000" w:sz="4" w:space="0"/>
              <w:bottom w:val="single" w:color="000000" w:sz="4" w:space="0"/>
              <w:right w:val="single" w:color="000000" w:sz="4" w:space="0"/>
            </w:tcBorders>
            <w:vAlign w:val="center"/>
          </w:tcPr>
          <w:p>
            <w:pPr>
              <w:autoSpaceDN w:val="0"/>
              <w:rPr>
                <w:rFonts w:ascii="宋体" w:hAnsi="宋体"/>
                <w:sz w:val="24"/>
              </w:rPr>
            </w:pPr>
          </w:p>
        </w:tc>
        <w:tc>
          <w:tcPr>
            <w:tcW w:w="2259"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ascii="宋体" w:hAnsi="宋体"/>
                <w:color w:val="000000"/>
                <w:sz w:val="18"/>
              </w:rPr>
            </w:pPr>
            <w:r>
              <w:rPr>
                <w:rFonts w:ascii="宋体" w:hAnsi="宋体"/>
                <w:color w:val="000000"/>
                <w:sz w:val="18"/>
              </w:rPr>
              <w:t>工作计划制定健全性</w:t>
            </w:r>
          </w:p>
        </w:tc>
        <w:tc>
          <w:tcPr>
            <w:tcW w:w="926"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ascii="宋体" w:hAnsi="宋体"/>
                <w:color w:val="000000"/>
                <w:sz w:val="18"/>
              </w:rPr>
            </w:pPr>
            <w:r>
              <w:rPr>
                <w:rFonts w:ascii="宋体" w:hAnsi="宋体"/>
                <w:color w:val="000000"/>
                <w:sz w:val="18"/>
              </w:rPr>
              <w:t>健全</w:t>
            </w:r>
          </w:p>
        </w:tc>
        <w:tc>
          <w:tcPr>
            <w:tcW w:w="3015"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ascii="宋体" w:hAnsi="宋体"/>
                <w:color w:val="000000"/>
                <w:sz w:val="18"/>
              </w:rPr>
            </w:pPr>
            <w:r>
              <w:rPr>
                <w:rFonts w:ascii="宋体" w:hAnsi="宋体"/>
                <w:color w:val="000000"/>
                <w:sz w:val="18"/>
              </w:rPr>
              <w:t>单位年度工作计划的制定是否明确（1分），科学（1分）</w:t>
            </w:r>
          </w:p>
        </w:tc>
        <w:tc>
          <w:tcPr>
            <w:tcW w:w="2123"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ascii="宋体" w:hAnsi="宋体"/>
                <w:color w:val="000000"/>
                <w:sz w:val="18"/>
              </w:rPr>
            </w:pPr>
            <w:r>
              <w:rPr>
                <w:rFonts w:ascii="宋体" w:hAnsi="宋体"/>
                <w:color w:val="000000"/>
                <w:sz w:val="18"/>
              </w:rPr>
              <w:t>已制定科学明确的年度工作计划，有年度工作要点，得2分</w:t>
            </w:r>
          </w:p>
        </w:tc>
        <w:tc>
          <w:tcPr>
            <w:tcW w:w="1061"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ascii="宋体" w:hAnsi="宋体"/>
                <w:color w:val="000000"/>
                <w:sz w:val="18"/>
              </w:rPr>
            </w:pPr>
            <w:r>
              <w:rPr>
                <w:rFonts w:ascii="宋体" w:hAnsi="宋体"/>
                <w:color w:val="000000"/>
                <w:sz w:val="18"/>
              </w:rPr>
              <w:t>2</w:t>
            </w:r>
          </w:p>
        </w:tc>
        <w:tc>
          <w:tcPr>
            <w:tcW w:w="1061"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ascii="宋体" w:hAnsi="宋体"/>
                <w:color w:val="000000"/>
                <w:sz w:val="18"/>
              </w:rPr>
            </w:pPr>
            <w:r>
              <w:rPr>
                <w:rFonts w:ascii="宋体" w:hAnsi="宋体"/>
                <w:color w:val="000000"/>
                <w:sz w:val="18"/>
              </w:rPr>
              <w:t>2</w:t>
            </w:r>
          </w:p>
        </w:tc>
      </w:tr>
      <w:tr>
        <w:tblPrEx>
          <w:tblLayout w:type="fixed"/>
          <w:tblCellMar>
            <w:top w:w="0" w:type="dxa"/>
            <w:left w:w="15" w:type="dxa"/>
            <w:bottom w:w="0" w:type="dxa"/>
            <w:right w:w="15" w:type="dxa"/>
          </w:tblCellMar>
        </w:tblPrEx>
        <w:trPr>
          <w:trHeight w:val="900" w:hRule="atLeast"/>
        </w:trPr>
        <w:tc>
          <w:tcPr>
            <w:tcW w:w="1228" w:type="dxa"/>
            <w:vMerge w:val="continue"/>
            <w:tcBorders>
              <w:top w:val="single" w:color="000000" w:sz="4" w:space="0"/>
              <w:left w:val="single" w:color="000000" w:sz="4" w:space="0"/>
              <w:bottom w:val="single" w:color="000000" w:sz="4" w:space="0"/>
              <w:right w:val="single" w:color="000000" w:sz="4" w:space="0"/>
            </w:tcBorders>
            <w:vAlign w:val="center"/>
          </w:tcPr>
          <w:p>
            <w:pPr>
              <w:rPr>
                <w:rFonts w:ascii="宋体" w:hAnsi="宋体"/>
                <w:sz w:val="24"/>
              </w:rPr>
            </w:pPr>
          </w:p>
        </w:tc>
        <w:tc>
          <w:tcPr>
            <w:tcW w:w="3755" w:type="dxa"/>
            <w:gridSpan w:val="2"/>
            <w:vMerge w:val="restart"/>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ascii="宋体" w:hAnsi="宋体"/>
                <w:color w:val="000000"/>
                <w:sz w:val="18"/>
              </w:rPr>
            </w:pPr>
            <w:r>
              <w:rPr>
                <w:rFonts w:ascii="宋体" w:hAnsi="宋体"/>
                <w:color w:val="000000"/>
                <w:sz w:val="18"/>
              </w:rPr>
              <w:t>目标设定</w:t>
            </w:r>
          </w:p>
        </w:tc>
        <w:tc>
          <w:tcPr>
            <w:tcW w:w="2259"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ascii="宋体" w:hAnsi="宋体"/>
                <w:color w:val="000000"/>
                <w:sz w:val="18"/>
              </w:rPr>
            </w:pPr>
            <w:r>
              <w:rPr>
                <w:rFonts w:ascii="宋体" w:hAnsi="宋体"/>
                <w:color w:val="000000"/>
                <w:sz w:val="18"/>
              </w:rPr>
              <w:t>绩效目标合理性</w:t>
            </w:r>
          </w:p>
        </w:tc>
        <w:tc>
          <w:tcPr>
            <w:tcW w:w="926"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ascii="宋体" w:hAnsi="宋体"/>
                <w:color w:val="000000"/>
                <w:sz w:val="18"/>
              </w:rPr>
            </w:pPr>
            <w:r>
              <w:rPr>
                <w:rFonts w:ascii="宋体" w:hAnsi="宋体"/>
                <w:color w:val="000000"/>
                <w:sz w:val="18"/>
              </w:rPr>
              <w:t>合理</w:t>
            </w:r>
          </w:p>
        </w:tc>
        <w:tc>
          <w:tcPr>
            <w:tcW w:w="3015"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ascii="宋体" w:hAnsi="宋体"/>
                <w:color w:val="000000"/>
                <w:sz w:val="18"/>
              </w:rPr>
            </w:pPr>
            <w:r>
              <w:rPr>
                <w:rFonts w:ascii="宋体" w:hAnsi="宋体"/>
                <w:color w:val="000000"/>
                <w:sz w:val="18"/>
              </w:rPr>
              <w:t>绩效目标与实际工作内容是否具有相关性（1分），绩效目标是否合理。（1分）</w:t>
            </w:r>
          </w:p>
        </w:tc>
        <w:tc>
          <w:tcPr>
            <w:tcW w:w="2123"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ascii="宋体" w:hAnsi="宋体"/>
                <w:color w:val="000000"/>
                <w:sz w:val="18"/>
              </w:rPr>
            </w:pPr>
            <w:r>
              <w:rPr>
                <w:rFonts w:ascii="宋体" w:hAnsi="宋体"/>
                <w:color w:val="000000"/>
                <w:sz w:val="18"/>
              </w:rPr>
              <w:t>绩效目标与实际工作内容相关，设置合理，得2分</w:t>
            </w:r>
          </w:p>
        </w:tc>
        <w:tc>
          <w:tcPr>
            <w:tcW w:w="1061"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ascii="宋体" w:hAnsi="宋体"/>
                <w:color w:val="000000"/>
                <w:sz w:val="18"/>
              </w:rPr>
            </w:pPr>
            <w:r>
              <w:rPr>
                <w:rFonts w:ascii="宋体" w:hAnsi="宋体"/>
                <w:color w:val="000000"/>
                <w:sz w:val="18"/>
              </w:rPr>
              <w:t>2</w:t>
            </w:r>
          </w:p>
        </w:tc>
        <w:tc>
          <w:tcPr>
            <w:tcW w:w="1061"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ascii="宋体" w:hAnsi="宋体"/>
                <w:color w:val="000000"/>
                <w:sz w:val="18"/>
              </w:rPr>
            </w:pPr>
            <w:r>
              <w:rPr>
                <w:rFonts w:ascii="宋体" w:hAnsi="宋体"/>
                <w:color w:val="000000"/>
                <w:sz w:val="18"/>
              </w:rPr>
              <w:t>2</w:t>
            </w:r>
          </w:p>
        </w:tc>
      </w:tr>
      <w:tr>
        <w:tblPrEx>
          <w:tblLayout w:type="fixed"/>
          <w:tblCellMar>
            <w:top w:w="0" w:type="dxa"/>
            <w:left w:w="15" w:type="dxa"/>
            <w:bottom w:w="0" w:type="dxa"/>
            <w:right w:w="15" w:type="dxa"/>
          </w:tblCellMar>
        </w:tblPrEx>
        <w:trPr>
          <w:trHeight w:val="675" w:hRule="atLeast"/>
        </w:trPr>
        <w:tc>
          <w:tcPr>
            <w:tcW w:w="1228" w:type="dxa"/>
            <w:vMerge w:val="continue"/>
            <w:tcBorders>
              <w:top w:val="single" w:color="000000" w:sz="4" w:space="0"/>
              <w:left w:val="single" w:color="000000" w:sz="4" w:space="0"/>
              <w:bottom w:val="single" w:color="000000" w:sz="4" w:space="0"/>
              <w:right w:val="single" w:color="000000" w:sz="4" w:space="0"/>
            </w:tcBorders>
            <w:vAlign w:val="center"/>
          </w:tcPr>
          <w:p>
            <w:pPr>
              <w:rPr>
                <w:rFonts w:ascii="宋体" w:hAnsi="宋体"/>
                <w:sz w:val="24"/>
              </w:rPr>
            </w:pPr>
          </w:p>
        </w:tc>
        <w:tc>
          <w:tcPr>
            <w:tcW w:w="3755" w:type="dxa"/>
            <w:gridSpan w:val="2"/>
            <w:vMerge w:val="continue"/>
            <w:tcBorders>
              <w:top w:val="single" w:color="000000" w:sz="4" w:space="0"/>
              <w:left w:val="single" w:color="000000" w:sz="4" w:space="0"/>
              <w:bottom w:val="single" w:color="000000" w:sz="4" w:space="0"/>
              <w:right w:val="single" w:color="000000" w:sz="4" w:space="0"/>
            </w:tcBorders>
            <w:vAlign w:val="center"/>
          </w:tcPr>
          <w:p>
            <w:pPr>
              <w:autoSpaceDN w:val="0"/>
              <w:rPr>
                <w:rFonts w:ascii="宋体" w:hAnsi="宋体"/>
                <w:sz w:val="24"/>
              </w:rPr>
            </w:pPr>
          </w:p>
        </w:tc>
        <w:tc>
          <w:tcPr>
            <w:tcW w:w="2259"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ascii="宋体" w:hAnsi="宋体"/>
                <w:color w:val="000000"/>
                <w:sz w:val="18"/>
              </w:rPr>
            </w:pPr>
            <w:r>
              <w:rPr>
                <w:rFonts w:ascii="宋体" w:hAnsi="宋体"/>
                <w:color w:val="000000"/>
                <w:sz w:val="18"/>
              </w:rPr>
              <w:t>绩效指标明确性</w:t>
            </w:r>
          </w:p>
        </w:tc>
        <w:tc>
          <w:tcPr>
            <w:tcW w:w="926"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ascii="宋体" w:hAnsi="宋体"/>
                <w:color w:val="000000"/>
                <w:sz w:val="18"/>
              </w:rPr>
            </w:pPr>
            <w:r>
              <w:rPr>
                <w:rFonts w:ascii="宋体" w:hAnsi="宋体"/>
                <w:color w:val="000000"/>
                <w:sz w:val="18"/>
              </w:rPr>
              <w:t>明确</w:t>
            </w:r>
          </w:p>
        </w:tc>
        <w:tc>
          <w:tcPr>
            <w:tcW w:w="3015"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ascii="宋体" w:hAnsi="宋体"/>
                <w:color w:val="000000"/>
                <w:sz w:val="18"/>
              </w:rPr>
            </w:pPr>
            <w:r>
              <w:rPr>
                <w:rFonts w:ascii="宋体" w:hAnsi="宋体"/>
                <w:color w:val="000000"/>
                <w:sz w:val="18"/>
              </w:rPr>
              <w:t>是否细化分解为具体明确的（1分），指标值是否清晰、可衡量（1分）</w:t>
            </w:r>
          </w:p>
        </w:tc>
        <w:tc>
          <w:tcPr>
            <w:tcW w:w="2123"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ascii="宋体" w:hAnsi="宋体"/>
                <w:color w:val="000000"/>
                <w:sz w:val="18"/>
              </w:rPr>
            </w:pPr>
            <w:r>
              <w:rPr>
                <w:rFonts w:ascii="宋体" w:hAnsi="宋体"/>
                <w:color w:val="000000"/>
                <w:sz w:val="18"/>
              </w:rPr>
              <w:t>绩效指标明确，清晰、可衡量，得2分</w:t>
            </w:r>
          </w:p>
        </w:tc>
        <w:tc>
          <w:tcPr>
            <w:tcW w:w="1061"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ascii="宋体" w:hAnsi="宋体"/>
                <w:color w:val="000000"/>
                <w:sz w:val="18"/>
              </w:rPr>
            </w:pPr>
            <w:r>
              <w:rPr>
                <w:rFonts w:ascii="宋体" w:hAnsi="宋体"/>
                <w:color w:val="000000"/>
                <w:sz w:val="18"/>
              </w:rPr>
              <w:t>2</w:t>
            </w:r>
          </w:p>
        </w:tc>
        <w:tc>
          <w:tcPr>
            <w:tcW w:w="1061"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ascii="宋体" w:hAnsi="宋体"/>
                <w:color w:val="000000"/>
                <w:sz w:val="18"/>
              </w:rPr>
            </w:pPr>
            <w:r>
              <w:rPr>
                <w:rFonts w:hint="eastAsia" w:ascii="宋体" w:hAnsi="宋体"/>
                <w:color w:val="000000"/>
                <w:sz w:val="18"/>
              </w:rPr>
              <w:t>2</w:t>
            </w:r>
          </w:p>
        </w:tc>
      </w:tr>
      <w:tr>
        <w:tblPrEx>
          <w:tblLayout w:type="fixed"/>
          <w:tblCellMar>
            <w:top w:w="0" w:type="dxa"/>
            <w:left w:w="15" w:type="dxa"/>
            <w:bottom w:w="0" w:type="dxa"/>
            <w:right w:w="15" w:type="dxa"/>
          </w:tblCellMar>
        </w:tblPrEx>
        <w:trPr>
          <w:trHeight w:val="900" w:hRule="atLeast"/>
        </w:trPr>
        <w:tc>
          <w:tcPr>
            <w:tcW w:w="1228" w:type="dxa"/>
            <w:vMerge w:val="continue"/>
            <w:tcBorders>
              <w:top w:val="single" w:color="000000" w:sz="4" w:space="0"/>
              <w:left w:val="single" w:color="000000" w:sz="4" w:space="0"/>
              <w:bottom w:val="single" w:color="000000" w:sz="4" w:space="0"/>
              <w:right w:val="single" w:color="000000" w:sz="4" w:space="0"/>
            </w:tcBorders>
            <w:vAlign w:val="center"/>
          </w:tcPr>
          <w:p>
            <w:pPr>
              <w:rPr>
                <w:rFonts w:ascii="宋体" w:hAnsi="宋体"/>
                <w:sz w:val="24"/>
              </w:rPr>
            </w:pPr>
          </w:p>
        </w:tc>
        <w:tc>
          <w:tcPr>
            <w:tcW w:w="3755" w:type="dxa"/>
            <w:gridSpan w:val="2"/>
            <w:vMerge w:val="restart"/>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ascii="宋体" w:hAnsi="宋体"/>
                <w:color w:val="000000"/>
                <w:sz w:val="18"/>
              </w:rPr>
            </w:pPr>
            <w:r>
              <w:rPr>
                <w:rFonts w:ascii="宋体" w:hAnsi="宋体"/>
                <w:color w:val="000000"/>
                <w:sz w:val="18"/>
              </w:rPr>
              <w:t>预算编制</w:t>
            </w:r>
          </w:p>
        </w:tc>
        <w:tc>
          <w:tcPr>
            <w:tcW w:w="2259"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ascii="宋体" w:hAnsi="宋体"/>
                <w:color w:val="000000"/>
                <w:sz w:val="18"/>
              </w:rPr>
            </w:pPr>
            <w:r>
              <w:rPr>
                <w:rFonts w:ascii="宋体" w:hAnsi="宋体"/>
                <w:color w:val="000000"/>
                <w:sz w:val="18"/>
              </w:rPr>
              <w:t>预算编制科学性</w:t>
            </w:r>
          </w:p>
        </w:tc>
        <w:tc>
          <w:tcPr>
            <w:tcW w:w="926"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ascii="宋体" w:hAnsi="宋体"/>
                <w:color w:val="000000"/>
                <w:sz w:val="18"/>
              </w:rPr>
            </w:pPr>
            <w:r>
              <w:rPr>
                <w:rFonts w:ascii="宋体" w:hAnsi="宋体"/>
                <w:color w:val="000000"/>
                <w:sz w:val="18"/>
              </w:rPr>
              <w:t>科学</w:t>
            </w:r>
          </w:p>
        </w:tc>
        <w:tc>
          <w:tcPr>
            <w:tcW w:w="3015"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ascii="宋体" w:hAnsi="宋体"/>
                <w:color w:val="000000"/>
                <w:sz w:val="18"/>
              </w:rPr>
            </w:pPr>
            <w:r>
              <w:rPr>
                <w:rFonts w:ascii="宋体" w:hAnsi="宋体"/>
                <w:color w:val="000000"/>
                <w:sz w:val="18"/>
              </w:rPr>
              <w:t>预算编制是否经过科学论证（1分），预算额度测算依据是否充分，是否按照标准编制（1分）</w:t>
            </w:r>
          </w:p>
        </w:tc>
        <w:tc>
          <w:tcPr>
            <w:tcW w:w="2123"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ascii="宋体" w:hAnsi="宋体"/>
                <w:color w:val="000000"/>
                <w:sz w:val="18"/>
              </w:rPr>
            </w:pPr>
            <w:r>
              <w:rPr>
                <w:rFonts w:ascii="宋体" w:hAnsi="宋体"/>
                <w:color w:val="000000"/>
                <w:sz w:val="18"/>
              </w:rPr>
              <w:t>预算编制,经过科学论证，预算额度测算依据充分，按照标准编制，得2分</w:t>
            </w:r>
          </w:p>
        </w:tc>
        <w:tc>
          <w:tcPr>
            <w:tcW w:w="1061"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ascii="宋体" w:hAnsi="宋体"/>
                <w:color w:val="000000"/>
                <w:sz w:val="18"/>
              </w:rPr>
            </w:pPr>
            <w:r>
              <w:rPr>
                <w:rFonts w:ascii="宋体" w:hAnsi="宋体"/>
                <w:color w:val="000000"/>
                <w:sz w:val="18"/>
              </w:rPr>
              <w:t>2</w:t>
            </w:r>
          </w:p>
        </w:tc>
        <w:tc>
          <w:tcPr>
            <w:tcW w:w="1061"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ascii="宋体" w:hAnsi="宋体"/>
                <w:color w:val="000000"/>
                <w:sz w:val="18"/>
              </w:rPr>
            </w:pPr>
            <w:r>
              <w:rPr>
                <w:rFonts w:hint="eastAsia" w:ascii="宋体" w:hAnsi="宋体"/>
                <w:color w:val="000000"/>
                <w:sz w:val="18"/>
              </w:rPr>
              <w:t>2</w:t>
            </w:r>
          </w:p>
        </w:tc>
      </w:tr>
      <w:tr>
        <w:tblPrEx>
          <w:tblLayout w:type="fixed"/>
          <w:tblCellMar>
            <w:top w:w="0" w:type="dxa"/>
            <w:left w:w="15" w:type="dxa"/>
            <w:bottom w:w="0" w:type="dxa"/>
            <w:right w:w="15" w:type="dxa"/>
          </w:tblCellMar>
        </w:tblPrEx>
        <w:trPr>
          <w:trHeight w:val="900" w:hRule="atLeast"/>
        </w:trPr>
        <w:tc>
          <w:tcPr>
            <w:tcW w:w="1228" w:type="dxa"/>
            <w:vMerge w:val="continue"/>
            <w:tcBorders>
              <w:top w:val="single" w:color="000000" w:sz="4" w:space="0"/>
              <w:left w:val="single" w:color="000000" w:sz="4" w:space="0"/>
              <w:bottom w:val="single" w:color="000000" w:sz="4" w:space="0"/>
              <w:right w:val="single" w:color="000000" w:sz="4" w:space="0"/>
            </w:tcBorders>
            <w:vAlign w:val="center"/>
          </w:tcPr>
          <w:p>
            <w:pPr>
              <w:rPr>
                <w:rFonts w:ascii="宋体" w:hAnsi="宋体"/>
                <w:sz w:val="24"/>
              </w:rPr>
            </w:pPr>
          </w:p>
        </w:tc>
        <w:tc>
          <w:tcPr>
            <w:tcW w:w="3755" w:type="dxa"/>
            <w:gridSpan w:val="2"/>
            <w:vMerge w:val="continue"/>
            <w:tcBorders>
              <w:top w:val="single" w:color="000000" w:sz="4" w:space="0"/>
              <w:left w:val="single" w:color="000000" w:sz="4" w:space="0"/>
              <w:bottom w:val="single" w:color="000000" w:sz="4" w:space="0"/>
              <w:right w:val="single" w:color="000000" w:sz="4" w:space="0"/>
            </w:tcBorders>
            <w:vAlign w:val="center"/>
          </w:tcPr>
          <w:p>
            <w:pPr>
              <w:autoSpaceDN w:val="0"/>
              <w:rPr>
                <w:rFonts w:ascii="宋体" w:hAnsi="宋体"/>
                <w:sz w:val="24"/>
              </w:rPr>
            </w:pPr>
          </w:p>
        </w:tc>
        <w:tc>
          <w:tcPr>
            <w:tcW w:w="2259"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ascii="宋体" w:hAnsi="宋体"/>
                <w:color w:val="000000"/>
                <w:sz w:val="18"/>
              </w:rPr>
            </w:pPr>
            <w:r>
              <w:rPr>
                <w:rFonts w:ascii="宋体" w:hAnsi="宋体"/>
                <w:color w:val="000000"/>
                <w:sz w:val="18"/>
              </w:rPr>
              <w:t>预算编制规范性</w:t>
            </w:r>
          </w:p>
        </w:tc>
        <w:tc>
          <w:tcPr>
            <w:tcW w:w="926"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ascii="宋体" w:hAnsi="宋体"/>
                <w:color w:val="000000"/>
                <w:sz w:val="18"/>
              </w:rPr>
            </w:pPr>
            <w:r>
              <w:rPr>
                <w:rFonts w:ascii="宋体" w:hAnsi="宋体"/>
                <w:color w:val="000000"/>
                <w:sz w:val="18"/>
              </w:rPr>
              <w:t>规范</w:t>
            </w:r>
          </w:p>
        </w:tc>
        <w:tc>
          <w:tcPr>
            <w:tcW w:w="3015"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ascii="宋体" w:hAnsi="宋体"/>
                <w:color w:val="000000"/>
                <w:sz w:val="18"/>
              </w:rPr>
            </w:pPr>
            <w:r>
              <w:rPr>
                <w:rFonts w:ascii="宋体" w:hAnsi="宋体"/>
                <w:color w:val="000000"/>
                <w:sz w:val="18"/>
              </w:rPr>
              <w:t>项目是否按照程序规范申请设立（1分），事前是否已经过必要的可行性研究、评估（1分）</w:t>
            </w:r>
          </w:p>
        </w:tc>
        <w:tc>
          <w:tcPr>
            <w:tcW w:w="2123"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ascii="宋体" w:hAnsi="宋体"/>
                <w:color w:val="000000"/>
                <w:sz w:val="18"/>
              </w:rPr>
            </w:pPr>
            <w:r>
              <w:rPr>
                <w:rFonts w:ascii="宋体" w:hAnsi="宋体"/>
                <w:color w:val="000000"/>
                <w:sz w:val="18"/>
              </w:rPr>
              <w:t>项目按照程序规范设立，事前已经过必要的可行性研究、评估，得2分</w:t>
            </w:r>
          </w:p>
        </w:tc>
        <w:tc>
          <w:tcPr>
            <w:tcW w:w="1061"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ascii="宋体" w:hAnsi="宋体"/>
                <w:color w:val="000000"/>
                <w:sz w:val="18"/>
              </w:rPr>
            </w:pPr>
            <w:r>
              <w:rPr>
                <w:rFonts w:ascii="宋体" w:hAnsi="宋体"/>
                <w:color w:val="000000"/>
                <w:sz w:val="18"/>
              </w:rPr>
              <w:t>2</w:t>
            </w:r>
          </w:p>
        </w:tc>
        <w:tc>
          <w:tcPr>
            <w:tcW w:w="1061"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ascii="宋体" w:hAnsi="宋体"/>
                <w:color w:val="000000"/>
                <w:sz w:val="18"/>
              </w:rPr>
            </w:pPr>
            <w:r>
              <w:rPr>
                <w:rFonts w:ascii="宋体" w:hAnsi="宋体"/>
                <w:color w:val="000000"/>
                <w:sz w:val="18"/>
              </w:rPr>
              <w:t>2</w:t>
            </w:r>
          </w:p>
        </w:tc>
      </w:tr>
      <w:tr>
        <w:tblPrEx>
          <w:tblLayout w:type="fixed"/>
          <w:tblCellMar>
            <w:top w:w="0" w:type="dxa"/>
            <w:left w:w="15" w:type="dxa"/>
            <w:bottom w:w="0" w:type="dxa"/>
            <w:right w:w="15" w:type="dxa"/>
          </w:tblCellMar>
        </w:tblPrEx>
        <w:trPr>
          <w:trHeight w:val="675" w:hRule="atLeast"/>
        </w:trPr>
        <w:tc>
          <w:tcPr>
            <w:tcW w:w="1228" w:type="dxa"/>
            <w:vMerge w:val="restart"/>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ascii="宋体" w:hAnsi="宋体"/>
                <w:color w:val="000000"/>
                <w:sz w:val="18"/>
              </w:rPr>
            </w:pPr>
            <w:r>
              <w:rPr>
                <w:rFonts w:ascii="宋体" w:hAnsi="宋体"/>
                <w:color w:val="000000"/>
                <w:sz w:val="18"/>
              </w:rPr>
              <w:t>过程</w:t>
            </w:r>
          </w:p>
        </w:tc>
        <w:tc>
          <w:tcPr>
            <w:tcW w:w="3755" w:type="dxa"/>
            <w:gridSpan w:val="2"/>
            <w:vMerge w:val="restart"/>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ascii="宋体" w:hAnsi="宋体"/>
                <w:color w:val="000000"/>
                <w:sz w:val="18"/>
              </w:rPr>
            </w:pPr>
            <w:r>
              <w:rPr>
                <w:rFonts w:ascii="宋体" w:hAnsi="宋体"/>
                <w:color w:val="000000"/>
                <w:sz w:val="18"/>
              </w:rPr>
              <w:t>预算执行</w:t>
            </w:r>
          </w:p>
        </w:tc>
        <w:tc>
          <w:tcPr>
            <w:tcW w:w="2259"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ascii="宋体" w:hAnsi="宋体"/>
                <w:color w:val="000000"/>
                <w:sz w:val="18"/>
              </w:rPr>
            </w:pPr>
            <w:r>
              <w:rPr>
                <w:rFonts w:ascii="宋体" w:hAnsi="宋体"/>
                <w:color w:val="000000"/>
                <w:sz w:val="18"/>
              </w:rPr>
              <w:t>预算调整率</w:t>
            </w:r>
          </w:p>
        </w:tc>
        <w:tc>
          <w:tcPr>
            <w:tcW w:w="926"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ascii="宋体" w:hAnsi="宋体"/>
                <w:color w:val="000000"/>
                <w:sz w:val="18"/>
              </w:rPr>
            </w:pPr>
            <w:r>
              <w:rPr>
                <w:rFonts w:ascii="宋体" w:hAnsi="宋体"/>
                <w:color w:val="000000"/>
                <w:sz w:val="18"/>
              </w:rPr>
              <w:t>＝0%</w:t>
            </w:r>
          </w:p>
        </w:tc>
        <w:tc>
          <w:tcPr>
            <w:tcW w:w="3015"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ascii="宋体" w:hAnsi="宋体"/>
                <w:color w:val="000000"/>
                <w:sz w:val="18"/>
              </w:rPr>
            </w:pPr>
            <w:r>
              <w:rPr>
                <w:rFonts w:ascii="宋体" w:hAnsi="宋体"/>
                <w:color w:val="000000"/>
                <w:sz w:val="18"/>
              </w:rPr>
              <w:t>预算过程中是否中途变更调整，调整手续是否完备合规（2分）</w:t>
            </w:r>
          </w:p>
        </w:tc>
        <w:tc>
          <w:tcPr>
            <w:tcW w:w="2123"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ascii="宋体" w:hAnsi="宋体"/>
                <w:color w:val="000000"/>
                <w:sz w:val="18"/>
              </w:rPr>
            </w:pPr>
            <w:r>
              <w:rPr>
                <w:rFonts w:ascii="宋体" w:hAnsi="宋体"/>
                <w:color w:val="000000"/>
                <w:sz w:val="18"/>
              </w:rPr>
              <w:t>预算过程中未申请变更调整，得2分</w:t>
            </w:r>
          </w:p>
        </w:tc>
        <w:tc>
          <w:tcPr>
            <w:tcW w:w="1061"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ascii="宋体" w:hAnsi="宋体"/>
                <w:color w:val="000000"/>
                <w:sz w:val="18"/>
              </w:rPr>
            </w:pPr>
            <w:r>
              <w:rPr>
                <w:rFonts w:ascii="宋体" w:hAnsi="宋体"/>
                <w:color w:val="000000"/>
                <w:sz w:val="18"/>
              </w:rPr>
              <w:t>2</w:t>
            </w:r>
          </w:p>
        </w:tc>
        <w:tc>
          <w:tcPr>
            <w:tcW w:w="1061"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ascii="宋体" w:hAnsi="宋体"/>
                <w:color w:val="000000"/>
                <w:sz w:val="18"/>
              </w:rPr>
            </w:pPr>
            <w:r>
              <w:rPr>
                <w:rFonts w:ascii="宋体" w:hAnsi="宋体"/>
                <w:color w:val="000000"/>
                <w:sz w:val="18"/>
              </w:rPr>
              <w:t>2</w:t>
            </w:r>
          </w:p>
        </w:tc>
      </w:tr>
      <w:tr>
        <w:tblPrEx>
          <w:tblLayout w:type="fixed"/>
          <w:tblCellMar>
            <w:top w:w="0" w:type="dxa"/>
            <w:left w:w="15" w:type="dxa"/>
            <w:bottom w:w="0" w:type="dxa"/>
            <w:right w:w="15" w:type="dxa"/>
          </w:tblCellMar>
        </w:tblPrEx>
        <w:trPr>
          <w:trHeight w:val="450" w:hRule="atLeast"/>
        </w:trPr>
        <w:tc>
          <w:tcPr>
            <w:tcW w:w="1228" w:type="dxa"/>
            <w:vMerge w:val="continue"/>
            <w:tcBorders>
              <w:top w:val="single" w:color="000000" w:sz="4" w:space="0"/>
              <w:left w:val="single" w:color="000000" w:sz="4" w:space="0"/>
              <w:bottom w:val="single" w:color="000000" w:sz="4" w:space="0"/>
              <w:right w:val="single" w:color="000000" w:sz="4" w:space="0"/>
            </w:tcBorders>
            <w:vAlign w:val="center"/>
          </w:tcPr>
          <w:p>
            <w:pPr>
              <w:rPr>
                <w:rFonts w:ascii="宋体" w:hAnsi="宋体"/>
                <w:sz w:val="24"/>
              </w:rPr>
            </w:pPr>
          </w:p>
        </w:tc>
        <w:tc>
          <w:tcPr>
            <w:tcW w:w="3755" w:type="dxa"/>
            <w:gridSpan w:val="2"/>
            <w:vMerge w:val="continue"/>
            <w:tcBorders>
              <w:top w:val="single" w:color="000000" w:sz="4" w:space="0"/>
              <w:left w:val="single" w:color="000000" w:sz="4" w:space="0"/>
              <w:bottom w:val="single" w:color="000000" w:sz="4" w:space="0"/>
              <w:right w:val="single" w:color="000000" w:sz="4" w:space="0"/>
            </w:tcBorders>
            <w:vAlign w:val="center"/>
          </w:tcPr>
          <w:p>
            <w:pPr>
              <w:autoSpaceDN w:val="0"/>
              <w:rPr>
                <w:rFonts w:ascii="宋体" w:hAnsi="宋体"/>
                <w:sz w:val="24"/>
              </w:rPr>
            </w:pPr>
          </w:p>
        </w:tc>
        <w:tc>
          <w:tcPr>
            <w:tcW w:w="2259"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ascii="宋体" w:hAnsi="宋体"/>
                <w:color w:val="000000"/>
                <w:sz w:val="18"/>
              </w:rPr>
            </w:pPr>
            <w:r>
              <w:rPr>
                <w:rFonts w:ascii="宋体" w:hAnsi="宋体"/>
                <w:color w:val="000000"/>
                <w:sz w:val="18"/>
              </w:rPr>
              <w:t>支付进度符合率</w:t>
            </w:r>
          </w:p>
        </w:tc>
        <w:tc>
          <w:tcPr>
            <w:tcW w:w="926"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ascii="宋体" w:hAnsi="宋体"/>
                <w:color w:val="000000"/>
                <w:sz w:val="18"/>
              </w:rPr>
            </w:pPr>
            <w:r>
              <w:rPr>
                <w:rFonts w:ascii="宋体" w:hAnsi="宋体"/>
                <w:color w:val="000000"/>
                <w:sz w:val="18"/>
              </w:rPr>
              <w:t>＝100%</w:t>
            </w:r>
          </w:p>
        </w:tc>
        <w:tc>
          <w:tcPr>
            <w:tcW w:w="3015"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ascii="宋体" w:hAnsi="宋体"/>
                <w:color w:val="000000"/>
                <w:sz w:val="18"/>
              </w:rPr>
            </w:pPr>
            <w:r>
              <w:rPr>
                <w:rFonts w:ascii="宋体" w:hAnsi="宋体"/>
                <w:color w:val="000000"/>
                <w:sz w:val="18"/>
              </w:rPr>
              <w:t>是否符合预算批复或合同规定的用途（2分）</w:t>
            </w:r>
          </w:p>
        </w:tc>
        <w:tc>
          <w:tcPr>
            <w:tcW w:w="2123"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ascii="宋体" w:hAnsi="宋体"/>
                <w:color w:val="000000"/>
                <w:sz w:val="18"/>
              </w:rPr>
            </w:pPr>
            <w:r>
              <w:rPr>
                <w:rFonts w:ascii="宋体" w:hAnsi="宋体"/>
                <w:color w:val="000000"/>
                <w:sz w:val="18"/>
              </w:rPr>
              <w:t>支付中不存在截留、挤占、挪用等情况，得2分</w:t>
            </w:r>
          </w:p>
        </w:tc>
        <w:tc>
          <w:tcPr>
            <w:tcW w:w="1061"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ascii="宋体" w:hAnsi="宋体"/>
                <w:color w:val="000000"/>
                <w:sz w:val="18"/>
              </w:rPr>
            </w:pPr>
            <w:r>
              <w:rPr>
                <w:rFonts w:ascii="宋体" w:hAnsi="宋体"/>
                <w:color w:val="000000"/>
                <w:sz w:val="18"/>
              </w:rPr>
              <w:t>2</w:t>
            </w:r>
          </w:p>
        </w:tc>
        <w:tc>
          <w:tcPr>
            <w:tcW w:w="1061"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ascii="宋体" w:hAnsi="宋体"/>
                <w:color w:val="000000"/>
                <w:sz w:val="18"/>
              </w:rPr>
            </w:pPr>
            <w:r>
              <w:rPr>
                <w:rFonts w:ascii="宋体" w:hAnsi="宋体"/>
                <w:color w:val="000000"/>
                <w:sz w:val="18"/>
              </w:rPr>
              <w:t>2</w:t>
            </w:r>
          </w:p>
        </w:tc>
      </w:tr>
      <w:tr>
        <w:tblPrEx>
          <w:tblLayout w:type="fixed"/>
          <w:tblCellMar>
            <w:top w:w="0" w:type="dxa"/>
            <w:left w:w="15" w:type="dxa"/>
            <w:bottom w:w="0" w:type="dxa"/>
            <w:right w:w="15" w:type="dxa"/>
          </w:tblCellMar>
        </w:tblPrEx>
        <w:trPr>
          <w:trHeight w:val="450" w:hRule="atLeast"/>
        </w:trPr>
        <w:tc>
          <w:tcPr>
            <w:tcW w:w="1228" w:type="dxa"/>
            <w:vMerge w:val="continue"/>
            <w:tcBorders>
              <w:top w:val="single" w:color="000000" w:sz="4" w:space="0"/>
              <w:left w:val="single" w:color="000000" w:sz="4" w:space="0"/>
              <w:bottom w:val="single" w:color="000000" w:sz="4" w:space="0"/>
              <w:right w:val="single" w:color="000000" w:sz="4" w:space="0"/>
            </w:tcBorders>
            <w:vAlign w:val="center"/>
          </w:tcPr>
          <w:p>
            <w:pPr>
              <w:rPr>
                <w:rFonts w:ascii="宋体" w:hAnsi="宋体"/>
                <w:sz w:val="24"/>
              </w:rPr>
            </w:pPr>
          </w:p>
        </w:tc>
        <w:tc>
          <w:tcPr>
            <w:tcW w:w="3755" w:type="dxa"/>
            <w:gridSpan w:val="2"/>
            <w:vMerge w:val="continue"/>
            <w:tcBorders>
              <w:top w:val="single" w:color="000000" w:sz="4" w:space="0"/>
              <w:left w:val="single" w:color="000000" w:sz="4" w:space="0"/>
              <w:bottom w:val="single" w:color="000000" w:sz="4" w:space="0"/>
              <w:right w:val="single" w:color="000000" w:sz="4" w:space="0"/>
            </w:tcBorders>
            <w:vAlign w:val="center"/>
          </w:tcPr>
          <w:p>
            <w:pPr>
              <w:autoSpaceDN w:val="0"/>
              <w:rPr>
                <w:rFonts w:ascii="宋体" w:hAnsi="宋体"/>
                <w:sz w:val="24"/>
              </w:rPr>
            </w:pPr>
          </w:p>
        </w:tc>
        <w:tc>
          <w:tcPr>
            <w:tcW w:w="2259"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ascii="宋体" w:hAnsi="宋体"/>
                <w:color w:val="000000"/>
                <w:sz w:val="18"/>
              </w:rPr>
            </w:pPr>
            <w:r>
              <w:rPr>
                <w:rFonts w:ascii="宋体" w:hAnsi="宋体"/>
                <w:color w:val="000000"/>
                <w:sz w:val="18"/>
              </w:rPr>
              <w:t>预算执行率</w:t>
            </w:r>
          </w:p>
        </w:tc>
        <w:tc>
          <w:tcPr>
            <w:tcW w:w="926"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ascii="宋体" w:hAnsi="宋体"/>
                <w:color w:val="000000"/>
                <w:sz w:val="18"/>
              </w:rPr>
            </w:pPr>
            <w:r>
              <w:rPr>
                <w:rFonts w:ascii="宋体" w:hAnsi="宋体"/>
                <w:color w:val="000000"/>
                <w:sz w:val="18"/>
              </w:rPr>
              <w:t>＝100%</w:t>
            </w:r>
          </w:p>
        </w:tc>
        <w:tc>
          <w:tcPr>
            <w:tcW w:w="3015"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ascii="宋体" w:hAnsi="宋体"/>
                <w:color w:val="000000"/>
                <w:sz w:val="18"/>
              </w:rPr>
            </w:pPr>
            <w:r>
              <w:rPr>
                <w:rFonts w:ascii="宋体" w:hAnsi="宋体"/>
                <w:color w:val="000000"/>
                <w:sz w:val="18"/>
              </w:rPr>
              <w:t>单位预算支出的预算执行情况（3分）</w:t>
            </w:r>
          </w:p>
        </w:tc>
        <w:tc>
          <w:tcPr>
            <w:tcW w:w="2123"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ascii="宋体" w:hAnsi="宋体"/>
                <w:color w:val="000000"/>
                <w:sz w:val="18"/>
              </w:rPr>
            </w:pPr>
            <w:r>
              <w:rPr>
                <w:rFonts w:ascii="宋体" w:hAnsi="宋体"/>
                <w:color w:val="000000"/>
                <w:sz w:val="18"/>
              </w:rPr>
              <w:t>按单位预算实际执行率计算，未执行完毕，扣1分</w:t>
            </w:r>
          </w:p>
        </w:tc>
        <w:tc>
          <w:tcPr>
            <w:tcW w:w="1061"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ascii="宋体" w:hAnsi="宋体"/>
                <w:color w:val="000000"/>
                <w:sz w:val="18"/>
              </w:rPr>
            </w:pPr>
            <w:r>
              <w:rPr>
                <w:rFonts w:ascii="宋体" w:hAnsi="宋体"/>
                <w:color w:val="000000"/>
                <w:sz w:val="18"/>
              </w:rPr>
              <w:t>3</w:t>
            </w:r>
          </w:p>
        </w:tc>
        <w:tc>
          <w:tcPr>
            <w:tcW w:w="1061"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ascii="宋体" w:hAnsi="宋体"/>
                <w:color w:val="000000"/>
                <w:sz w:val="18"/>
              </w:rPr>
            </w:pPr>
            <w:r>
              <w:rPr>
                <w:rFonts w:hint="eastAsia" w:ascii="宋体" w:hAnsi="宋体"/>
                <w:color w:val="000000"/>
                <w:sz w:val="18"/>
              </w:rPr>
              <w:t>3</w:t>
            </w:r>
          </w:p>
        </w:tc>
      </w:tr>
      <w:tr>
        <w:tblPrEx>
          <w:tblLayout w:type="fixed"/>
          <w:tblCellMar>
            <w:top w:w="0" w:type="dxa"/>
            <w:left w:w="15" w:type="dxa"/>
            <w:bottom w:w="0" w:type="dxa"/>
            <w:right w:w="15" w:type="dxa"/>
          </w:tblCellMar>
        </w:tblPrEx>
        <w:trPr>
          <w:trHeight w:val="450" w:hRule="atLeast"/>
        </w:trPr>
        <w:tc>
          <w:tcPr>
            <w:tcW w:w="1228" w:type="dxa"/>
            <w:vMerge w:val="continue"/>
            <w:tcBorders>
              <w:top w:val="single" w:color="000000" w:sz="4" w:space="0"/>
              <w:left w:val="single" w:color="000000" w:sz="4" w:space="0"/>
              <w:bottom w:val="single" w:color="000000" w:sz="4" w:space="0"/>
              <w:right w:val="single" w:color="000000" w:sz="4" w:space="0"/>
            </w:tcBorders>
            <w:vAlign w:val="center"/>
          </w:tcPr>
          <w:p>
            <w:pPr>
              <w:rPr>
                <w:rFonts w:ascii="宋体" w:hAnsi="宋体"/>
                <w:sz w:val="24"/>
              </w:rPr>
            </w:pPr>
          </w:p>
        </w:tc>
        <w:tc>
          <w:tcPr>
            <w:tcW w:w="3755" w:type="dxa"/>
            <w:gridSpan w:val="2"/>
            <w:vMerge w:val="continue"/>
            <w:tcBorders>
              <w:top w:val="single" w:color="000000" w:sz="4" w:space="0"/>
              <w:left w:val="single" w:color="000000" w:sz="4" w:space="0"/>
              <w:bottom w:val="single" w:color="000000" w:sz="4" w:space="0"/>
              <w:right w:val="single" w:color="000000" w:sz="4" w:space="0"/>
            </w:tcBorders>
            <w:vAlign w:val="center"/>
          </w:tcPr>
          <w:p>
            <w:pPr>
              <w:autoSpaceDN w:val="0"/>
              <w:rPr>
                <w:rFonts w:ascii="宋体" w:hAnsi="宋体"/>
                <w:sz w:val="24"/>
              </w:rPr>
            </w:pPr>
          </w:p>
        </w:tc>
        <w:tc>
          <w:tcPr>
            <w:tcW w:w="2259"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ascii="宋体" w:hAnsi="宋体"/>
                <w:color w:val="000000"/>
                <w:sz w:val="18"/>
              </w:rPr>
            </w:pPr>
            <w:r>
              <w:rPr>
                <w:rFonts w:ascii="宋体" w:hAnsi="宋体"/>
                <w:color w:val="000000"/>
                <w:sz w:val="18"/>
              </w:rPr>
              <w:t>结转结余率</w:t>
            </w:r>
          </w:p>
        </w:tc>
        <w:tc>
          <w:tcPr>
            <w:tcW w:w="926"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ascii="宋体" w:hAnsi="宋体"/>
                <w:color w:val="000000"/>
                <w:sz w:val="18"/>
              </w:rPr>
            </w:pPr>
            <w:r>
              <w:rPr>
                <w:rFonts w:ascii="宋体" w:hAnsi="宋体"/>
                <w:color w:val="000000"/>
                <w:sz w:val="18"/>
              </w:rPr>
              <w:t>＝0%</w:t>
            </w:r>
          </w:p>
        </w:tc>
        <w:tc>
          <w:tcPr>
            <w:tcW w:w="3015"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ascii="宋体" w:hAnsi="宋体"/>
                <w:color w:val="000000"/>
                <w:sz w:val="18"/>
              </w:rPr>
            </w:pPr>
            <w:r>
              <w:rPr>
                <w:rFonts w:ascii="宋体" w:hAnsi="宋体"/>
                <w:color w:val="000000"/>
                <w:sz w:val="18"/>
              </w:rPr>
              <w:t>未执行完毕的财政拨款是否结转下年（2分）</w:t>
            </w:r>
          </w:p>
        </w:tc>
        <w:tc>
          <w:tcPr>
            <w:tcW w:w="2123"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ascii="宋体" w:hAnsi="宋体"/>
                <w:color w:val="000000"/>
                <w:sz w:val="18"/>
              </w:rPr>
            </w:pPr>
            <w:r>
              <w:rPr>
                <w:rFonts w:ascii="宋体" w:hAnsi="宋体"/>
                <w:color w:val="000000"/>
                <w:sz w:val="18"/>
              </w:rPr>
              <w:t>未执行完毕的财政拨款均由财政收回，得2分</w:t>
            </w:r>
          </w:p>
        </w:tc>
        <w:tc>
          <w:tcPr>
            <w:tcW w:w="1061"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ascii="宋体" w:hAnsi="宋体"/>
                <w:color w:val="000000"/>
                <w:sz w:val="18"/>
              </w:rPr>
            </w:pPr>
            <w:r>
              <w:rPr>
                <w:rFonts w:ascii="宋体" w:hAnsi="宋体"/>
                <w:color w:val="000000"/>
                <w:sz w:val="18"/>
              </w:rPr>
              <w:t>2</w:t>
            </w:r>
          </w:p>
        </w:tc>
        <w:tc>
          <w:tcPr>
            <w:tcW w:w="1061"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ascii="宋体" w:hAnsi="宋体"/>
                <w:color w:val="000000"/>
                <w:sz w:val="18"/>
              </w:rPr>
            </w:pPr>
            <w:r>
              <w:rPr>
                <w:rFonts w:ascii="宋体" w:hAnsi="宋体"/>
                <w:color w:val="000000"/>
                <w:sz w:val="18"/>
              </w:rPr>
              <w:t>2</w:t>
            </w:r>
          </w:p>
        </w:tc>
      </w:tr>
      <w:tr>
        <w:tblPrEx>
          <w:tblLayout w:type="fixed"/>
          <w:tblCellMar>
            <w:top w:w="0" w:type="dxa"/>
            <w:left w:w="15" w:type="dxa"/>
            <w:bottom w:w="0" w:type="dxa"/>
            <w:right w:w="15" w:type="dxa"/>
          </w:tblCellMar>
        </w:tblPrEx>
        <w:trPr>
          <w:trHeight w:val="675" w:hRule="atLeast"/>
        </w:trPr>
        <w:tc>
          <w:tcPr>
            <w:tcW w:w="1228" w:type="dxa"/>
            <w:vMerge w:val="continue"/>
            <w:tcBorders>
              <w:top w:val="single" w:color="000000" w:sz="4" w:space="0"/>
              <w:left w:val="single" w:color="000000" w:sz="4" w:space="0"/>
              <w:bottom w:val="single" w:color="000000" w:sz="4" w:space="0"/>
              <w:right w:val="single" w:color="000000" w:sz="4" w:space="0"/>
            </w:tcBorders>
            <w:vAlign w:val="center"/>
          </w:tcPr>
          <w:p>
            <w:pPr>
              <w:rPr>
                <w:rFonts w:ascii="宋体" w:hAnsi="宋体"/>
                <w:sz w:val="24"/>
              </w:rPr>
            </w:pPr>
          </w:p>
        </w:tc>
        <w:tc>
          <w:tcPr>
            <w:tcW w:w="3755" w:type="dxa"/>
            <w:gridSpan w:val="2"/>
            <w:vMerge w:val="continue"/>
            <w:tcBorders>
              <w:top w:val="single" w:color="000000" w:sz="4" w:space="0"/>
              <w:left w:val="single" w:color="000000" w:sz="4" w:space="0"/>
              <w:bottom w:val="single" w:color="000000" w:sz="4" w:space="0"/>
              <w:right w:val="single" w:color="000000" w:sz="4" w:space="0"/>
            </w:tcBorders>
            <w:vAlign w:val="center"/>
          </w:tcPr>
          <w:p>
            <w:pPr>
              <w:autoSpaceDN w:val="0"/>
              <w:rPr>
                <w:rFonts w:ascii="宋体" w:hAnsi="宋体"/>
                <w:sz w:val="24"/>
              </w:rPr>
            </w:pPr>
          </w:p>
        </w:tc>
        <w:tc>
          <w:tcPr>
            <w:tcW w:w="2259"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ascii="宋体" w:hAnsi="宋体"/>
                <w:color w:val="000000"/>
                <w:sz w:val="18"/>
              </w:rPr>
            </w:pPr>
            <w:r>
              <w:rPr>
                <w:rFonts w:ascii="宋体" w:hAnsi="宋体"/>
                <w:color w:val="000000"/>
                <w:sz w:val="18"/>
              </w:rPr>
              <w:t>公用经费控制率</w:t>
            </w:r>
          </w:p>
        </w:tc>
        <w:tc>
          <w:tcPr>
            <w:tcW w:w="926"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ascii="宋体" w:hAnsi="宋体"/>
                <w:color w:val="000000"/>
                <w:sz w:val="18"/>
              </w:rPr>
            </w:pPr>
            <w:r>
              <w:rPr>
                <w:rFonts w:ascii="宋体" w:hAnsi="宋体"/>
                <w:color w:val="000000"/>
                <w:sz w:val="18"/>
              </w:rPr>
              <w:t>≤100%</w:t>
            </w:r>
          </w:p>
        </w:tc>
        <w:tc>
          <w:tcPr>
            <w:tcW w:w="3015"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ascii="宋体" w:hAnsi="宋体"/>
                <w:color w:val="000000"/>
                <w:sz w:val="18"/>
              </w:rPr>
            </w:pPr>
            <w:r>
              <w:rPr>
                <w:rFonts w:ascii="宋体" w:hAnsi="宋体"/>
                <w:color w:val="000000"/>
                <w:sz w:val="18"/>
              </w:rPr>
              <w:t>单位对公用经费的控制程度（预、决算比率≦100%，2分）</w:t>
            </w:r>
          </w:p>
        </w:tc>
        <w:tc>
          <w:tcPr>
            <w:tcW w:w="2123"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ascii="宋体" w:hAnsi="宋体"/>
                <w:color w:val="000000"/>
                <w:sz w:val="18"/>
              </w:rPr>
            </w:pPr>
            <w:r>
              <w:rPr>
                <w:rFonts w:ascii="宋体" w:hAnsi="宋体"/>
                <w:color w:val="000000"/>
                <w:sz w:val="18"/>
              </w:rPr>
              <w:t>公用经费，控制在标准范围内，得2分</w:t>
            </w:r>
          </w:p>
        </w:tc>
        <w:tc>
          <w:tcPr>
            <w:tcW w:w="1061"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ascii="宋体" w:hAnsi="宋体"/>
                <w:color w:val="000000"/>
                <w:sz w:val="18"/>
              </w:rPr>
            </w:pPr>
            <w:r>
              <w:rPr>
                <w:rFonts w:ascii="宋体" w:hAnsi="宋体"/>
                <w:color w:val="000000"/>
                <w:sz w:val="18"/>
              </w:rPr>
              <w:t>2</w:t>
            </w:r>
          </w:p>
        </w:tc>
        <w:tc>
          <w:tcPr>
            <w:tcW w:w="1061"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ascii="宋体" w:hAnsi="宋体"/>
                <w:color w:val="000000"/>
                <w:sz w:val="18"/>
              </w:rPr>
            </w:pPr>
            <w:r>
              <w:rPr>
                <w:rFonts w:ascii="宋体" w:hAnsi="宋体"/>
                <w:color w:val="000000"/>
                <w:sz w:val="18"/>
              </w:rPr>
              <w:t>2</w:t>
            </w:r>
          </w:p>
        </w:tc>
      </w:tr>
      <w:tr>
        <w:tblPrEx>
          <w:tblLayout w:type="fixed"/>
          <w:tblCellMar>
            <w:top w:w="0" w:type="dxa"/>
            <w:left w:w="15" w:type="dxa"/>
            <w:bottom w:w="0" w:type="dxa"/>
            <w:right w:w="15" w:type="dxa"/>
          </w:tblCellMar>
        </w:tblPrEx>
        <w:trPr>
          <w:trHeight w:val="675" w:hRule="atLeast"/>
        </w:trPr>
        <w:tc>
          <w:tcPr>
            <w:tcW w:w="1228" w:type="dxa"/>
            <w:vMerge w:val="continue"/>
            <w:tcBorders>
              <w:top w:val="single" w:color="000000" w:sz="4" w:space="0"/>
              <w:left w:val="single" w:color="000000" w:sz="4" w:space="0"/>
              <w:bottom w:val="single" w:color="000000" w:sz="4" w:space="0"/>
              <w:right w:val="single" w:color="000000" w:sz="4" w:space="0"/>
            </w:tcBorders>
            <w:vAlign w:val="center"/>
          </w:tcPr>
          <w:p>
            <w:pPr>
              <w:rPr>
                <w:rFonts w:ascii="宋体" w:hAnsi="宋体"/>
                <w:sz w:val="24"/>
              </w:rPr>
            </w:pPr>
          </w:p>
        </w:tc>
        <w:tc>
          <w:tcPr>
            <w:tcW w:w="3755" w:type="dxa"/>
            <w:gridSpan w:val="2"/>
            <w:vMerge w:val="continue"/>
            <w:tcBorders>
              <w:top w:val="single" w:color="000000" w:sz="4" w:space="0"/>
              <w:left w:val="single" w:color="000000" w:sz="4" w:space="0"/>
              <w:bottom w:val="single" w:color="000000" w:sz="4" w:space="0"/>
              <w:right w:val="single" w:color="000000" w:sz="4" w:space="0"/>
            </w:tcBorders>
            <w:vAlign w:val="center"/>
          </w:tcPr>
          <w:p>
            <w:pPr>
              <w:autoSpaceDN w:val="0"/>
              <w:rPr>
                <w:rFonts w:ascii="宋体" w:hAnsi="宋体"/>
                <w:sz w:val="24"/>
              </w:rPr>
            </w:pPr>
          </w:p>
        </w:tc>
        <w:tc>
          <w:tcPr>
            <w:tcW w:w="2259"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ascii="宋体" w:hAnsi="宋体"/>
                <w:color w:val="000000"/>
                <w:sz w:val="18"/>
              </w:rPr>
            </w:pPr>
            <w:r>
              <w:rPr>
                <w:rFonts w:ascii="宋体" w:hAnsi="宋体"/>
                <w:color w:val="000000"/>
                <w:sz w:val="18"/>
              </w:rPr>
              <w:t>“三公经费”变动率</w:t>
            </w:r>
          </w:p>
        </w:tc>
        <w:tc>
          <w:tcPr>
            <w:tcW w:w="926"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ascii="宋体" w:hAnsi="宋体"/>
                <w:color w:val="000000"/>
                <w:sz w:val="18"/>
              </w:rPr>
            </w:pPr>
            <w:r>
              <w:rPr>
                <w:rFonts w:ascii="宋体" w:hAnsi="宋体"/>
                <w:color w:val="000000"/>
                <w:sz w:val="18"/>
              </w:rPr>
              <w:t>≤0%</w:t>
            </w:r>
          </w:p>
        </w:tc>
        <w:tc>
          <w:tcPr>
            <w:tcW w:w="3015"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ascii="宋体" w:hAnsi="宋体"/>
                <w:color w:val="000000"/>
                <w:sz w:val="18"/>
              </w:rPr>
            </w:pPr>
            <w:r>
              <w:rPr>
                <w:rFonts w:ascii="宋体" w:hAnsi="宋体"/>
                <w:color w:val="000000"/>
                <w:sz w:val="18"/>
              </w:rPr>
              <w:t>单位“三公经费”变动情况，若不变动则不扣分（2分）</w:t>
            </w:r>
          </w:p>
        </w:tc>
        <w:tc>
          <w:tcPr>
            <w:tcW w:w="2123"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ascii="宋体" w:hAnsi="宋体"/>
                <w:color w:val="000000"/>
                <w:sz w:val="18"/>
              </w:rPr>
            </w:pPr>
            <w:r>
              <w:rPr>
                <w:rFonts w:ascii="宋体" w:hAnsi="宋体"/>
                <w:color w:val="000000"/>
                <w:sz w:val="18"/>
              </w:rPr>
              <w:t>“三公经费”未变动，得2分</w:t>
            </w:r>
          </w:p>
        </w:tc>
        <w:tc>
          <w:tcPr>
            <w:tcW w:w="1061"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ascii="宋体" w:hAnsi="宋体"/>
                <w:color w:val="000000"/>
                <w:sz w:val="18"/>
              </w:rPr>
            </w:pPr>
            <w:r>
              <w:rPr>
                <w:rFonts w:ascii="宋体" w:hAnsi="宋体"/>
                <w:color w:val="000000"/>
                <w:sz w:val="18"/>
              </w:rPr>
              <w:t>2</w:t>
            </w:r>
          </w:p>
        </w:tc>
        <w:tc>
          <w:tcPr>
            <w:tcW w:w="1061"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ascii="宋体" w:hAnsi="宋体"/>
                <w:color w:val="000000"/>
                <w:sz w:val="18"/>
              </w:rPr>
            </w:pPr>
            <w:r>
              <w:rPr>
                <w:rFonts w:ascii="宋体" w:hAnsi="宋体"/>
                <w:color w:val="000000"/>
                <w:sz w:val="18"/>
              </w:rPr>
              <w:t>2</w:t>
            </w:r>
          </w:p>
        </w:tc>
      </w:tr>
      <w:tr>
        <w:tblPrEx>
          <w:tblLayout w:type="fixed"/>
          <w:tblCellMar>
            <w:top w:w="0" w:type="dxa"/>
            <w:left w:w="15" w:type="dxa"/>
            <w:bottom w:w="0" w:type="dxa"/>
            <w:right w:w="15" w:type="dxa"/>
          </w:tblCellMar>
        </w:tblPrEx>
        <w:trPr>
          <w:trHeight w:val="450" w:hRule="atLeast"/>
        </w:trPr>
        <w:tc>
          <w:tcPr>
            <w:tcW w:w="1228" w:type="dxa"/>
            <w:vMerge w:val="continue"/>
            <w:tcBorders>
              <w:top w:val="single" w:color="000000" w:sz="4" w:space="0"/>
              <w:left w:val="single" w:color="000000" w:sz="4" w:space="0"/>
              <w:bottom w:val="single" w:color="000000" w:sz="4" w:space="0"/>
              <w:right w:val="single" w:color="000000" w:sz="4" w:space="0"/>
            </w:tcBorders>
            <w:vAlign w:val="center"/>
          </w:tcPr>
          <w:p>
            <w:pPr>
              <w:rPr>
                <w:rFonts w:ascii="宋体" w:hAnsi="宋体"/>
                <w:sz w:val="24"/>
              </w:rPr>
            </w:pPr>
          </w:p>
        </w:tc>
        <w:tc>
          <w:tcPr>
            <w:tcW w:w="3755" w:type="dxa"/>
            <w:gridSpan w:val="2"/>
            <w:vMerge w:val="continue"/>
            <w:tcBorders>
              <w:top w:val="single" w:color="000000" w:sz="4" w:space="0"/>
              <w:left w:val="single" w:color="000000" w:sz="4" w:space="0"/>
              <w:bottom w:val="single" w:color="000000" w:sz="4" w:space="0"/>
              <w:right w:val="single" w:color="000000" w:sz="4" w:space="0"/>
            </w:tcBorders>
            <w:vAlign w:val="center"/>
          </w:tcPr>
          <w:p>
            <w:pPr>
              <w:autoSpaceDN w:val="0"/>
              <w:rPr>
                <w:rFonts w:ascii="宋体" w:hAnsi="宋体"/>
                <w:sz w:val="24"/>
              </w:rPr>
            </w:pPr>
          </w:p>
        </w:tc>
        <w:tc>
          <w:tcPr>
            <w:tcW w:w="2259"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ascii="宋体" w:hAnsi="宋体"/>
                <w:color w:val="000000"/>
                <w:sz w:val="18"/>
              </w:rPr>
            </w:pPr>
            <w:r>
              <w:rPr>
                <w:rFonts w:ascii="宋体" w:hAnsi="宋体"/>
                <w:color w:val="000000"/>
                <w:sz w:val="18"/>
              </w:rPr>
              <w:t>政府采购执行率</w:t>
            </w:r>
          </w:p>
        </w:tc>
        <w:tc>
          <w:tcPr>
            <w:tcW w:w="926"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ascii="宋体" w:hAnsi="宋体"/>
                <w:color w:val="000000"/>
                <w:sz w:val="18"/>
              </w:rPr>
            </w:pPr>
            <w:r>
              <w:rPr>
                <w:rFonts w:ascii="宋体" w:hAnsi="宋体"/>
                <w:color w:val="000000"/>
                <w:sz w:val="18"/>
              </w:rPr>
              <w:t>＝100%</w:t>
            </w:r>
          </w:p>
        </w:tc>
        <w:tc>
          <w:tcPr>
            <w:tcW w:w="3015"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ascii="宋体" w:hAnsi="宋体"/>
                <w:color w:val="000000"/>
                <w:sz w:val="18"/>
              </w:rPr>
            </w:pPr>
            <w:r>
              <w:rPr>
                <w:rFonts w:ascii="宋体" w:hAnsi="宋体"/>
                <w:color w:val="000000"/>
                <w:sz w:val="18"/>
              </w:rPr>
              <w:t>纳入政府采购的资金能否按时执行（2分）</w:t>
            </w:r>
          </w:p>
        </w:tc>
        <w:tc>
          <w:tcPr>
            <w:tcW w:w="2123"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ascii="宋体" w:hAnsi="宋体"/>
                <w:color w:val="000000"/>
                <w:sz w:val="18"/>
              </w:rPr>
            </w:pPr>
            <w:r>
              <w:rPr>
                <w:rFonts w:ascii="宋体" w:hAnsi="宋体"/>
                <w:color w:val="000000"/>
                <w:sz w:val="18"/>
              </w:rPr>
              <w:t>政府采购资金按时执行完毕，得2分</w:t>
            </w:r>
          </w:p>
        </w:tc>
        <w:tc>
          <w:tcPr>
            <w:tcW w:w="1061"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ascii="宋体" w:hAnsi="宋体"/>
                <w:color w:val="000000"/>
                <w:sz w:val="18"/>
              </w:rPr>
            </w:pPr>
            <w:r>
              <w:rPr>
                <w:rFonts w:ascii="宋体" w:hAnsi="宋体"/>
                <w:color w:val="000000"/>
                <w:sz w:val="18"/>
              </w:rPr>
              <w:t>2</w:t>
            </w:r>
          </w:p>
        </w:tc>
        <w:tc>
          <w:tcPr>
            <w:tcW w:w="1061"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ascii="宋体" w:hAnsi="宋体"/>
                <w:color w:val="000000"/>
                <w:sz w:val="18"/>
              </w:rPr>
            </w:pPr>
            <w:r>
              <w:rPr>
                <w:rFonts w:ascii="宋体" w:hAnsi="宋体"/>
                <w:color w:val="000000"/>
                <w:sz w:val="18"/>
              </w:rPr>
              <w:t>2</w:t>
            </w:r>
          </w:p>
        </w:tc>
      </w:tr>
      <w:tr>
        <w:tblPrEx>
          <w:tblLayout w:type="fixed"/>
          <w:tblCellMar>
            <w:top w:w="0" w:type="dxa"/>
            <w:left w:w="15" w:type="dxa"/>
            <w:bottom w:w="0" w:type="dxa"/>
            <w:right w:w="15" w:type="dxa"/>
          </w:tblCellMar>
        </w:tblPrEx>
        <w:trPr>
          <w:trHeight w:val="450" w:hRule="atLeast"/>
        </w:trPr>
        <w:tc>
          <w:tcPr>
            <w:tcW w:w="1228" w:type="dxa"/>
            <w:vMerge w:val="continue"/>
            <w:tcBorders>
              <w:top w:val="single" w:color="000000" w:sz="4" w:space="0"/>
              <w:left w:val="single" w:color="000000" w:sz="4" w:space="0"/>
              <w:bottom w:val="single" w:color="000000" w:sz="4" w:space="0"/>
              <w:right w:val="single" w:color="000000" w:sz="4" w:space="0"/>
            </w:tcBorders>
            <w:vAlign w:val="center"/>
          </w:tcPr>
          <w:p>
            <w:pPr>
              <w:rPr>
                <w:rFonts w:ascii="宋体" w:hAnsi="宋体"/>
                <w:sz w:val="24"/>
              </w:rPr>
            </w:pPr>
          </w:p>
        </w:tc>
        <w:tc>
          <w:tcPr>
            <w:tcW w:w="3755" w:type="dxa"/>
            <w:gridSpan w:val="2"/>
            <w:vMerge w:val="continue"/>
            <w:tcBorders>
              <w:top w:val="single" w:color="000000" w:sz="4" w:space="0"/>
              <w:left w:val="single" w:color="000000" w:sz="4" w:space="0"/>
              <w:bottom w:val="single" w:color="000000" w:sz="4" w:space="0"/>
              <w:right w:val="single" w:color="000000" w:sz="4" w:space="0"/>
            </w:tcBorders>
            <w:vAlign w:val="center"/>
          </w:tcPr>
          <w:p>
            <w:pPr>
              <w:autoSpaceDN w:val="0"/>
              <w:rPr>
                <w:rFonts w:ascii="宋体" w:hAnsi="宋体"/>
                <w:sz w:val="24"/>
              </w:rPr>
            </w:pPr>
          </w:p>
        </w:tc>
        <w:tc>
          <w:tcPr>
            <w:tcW w:w="2259"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ascii="宋体" w:hAnsi="宋体"/>
                <w:color w:val="000000"/>
                <w:sz w:val="18"/>
              </w:rPr>
            </w:pPr>
            <w:r>
              <w:rPr>
                <w:rFonts w:ascii="宋体" w:hAnsi="宋体"/>
                <w:color w:val="000000"/>
                <w:sz w:val="18"/>
              </w:rPr>
              <w:t>非税收入预算完成率</w:t>
            </w:r>
          </w:p>
        </w:tc>
        <w:tc>
          <w:tcPr>
            <w:tcW w:w="926"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ascii="宋体" w:hAnsi="宋体"/>
                <w:color w:val="000000"/>
                <w:sz w:val="18"/>
              </w:rPr>
            </w:pPr>
            <w:r>
              <w:rPr>
                <w:rFonts w:ascii="宋体" w:hAnsi="宋体"/>
                <w:color w:val="000000"/>
                <w:sz w:val="18"/>
              </w:rPr>
              <w:t>≥100%</w:t>
            </w:r>
          </w:p>
        </w:tc>
        <w:tc>
          <w:tcPr>
            <w:tcW w:w="3015"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ascii="宋体" w:hAnsi="宋体"/>
                <w:color w:val="000000"/>
                <w:sz w:val="18"/>
              </w:rPr>
            </w:pPr>
            <w:r>
              <w:rPr>
                <w:rFonts w:ascii="宋体" w:hAnsi="宋体"/>
                <w:color w:val="000000"/>
                <w:sz w:val="18"/>
              </w:rPr>
              <w:t>非税收入能否完成预算目标（2分）</w:t>
            </w:r>
          </w:p>
        </w:tc>
        <w:tc>
          <w:tcPr>
            <w:tcW w:w="2123"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ascii="宋体" w:hAnsi="宋体"/>
                <w:color w:val="000000"/>
                <w:sz w:val="18"/>
              </w:rPr>
            </w:pPr>
            <w:r>
              <w:rPr>
                <w:rFonts w:ascii="宋体" w:hAnsi="宋体"/>
                <w:color w:val="000000"/>
                <w:sz w:val="18"/>
              </w:rPr>
              <w:t>非税收入完成预算目标，得2分</w:t>
            </w:r>
          </w:p>
        </w:tc>
        <w:tc>
          <w:tcPr>
            <w:tcW w:w="1061"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ascii="宋体" w:hAnsi="宋体"/>
                <w:color w:val="000000"/>
                <w:sz w:val="18"/>
              </w:rPr>
            </w:pPr>
            <w:r>
              <w:rPr>
                <w:rFonts w:ascii="宋体" w:hAnsi="宋体"/>
                <w:color w:val="000000"/>
                <w:sz w:val="18"/>
              </w:rPr>
              <w:t>2</w:t>
            </w:r>
          </w:p>
        </w:tc>
        <w:tc>
          <w:tcPr>
            <w:tcW w:w="1061"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ascii="宋体" w:hAnsi="宋体"/>
                <w:color w:val="000000"/>
                <w:sz w:val="18"/>
              </w:rPr>
            </w:pPr>
            <w:r>
              <w:rPr>
                <w:rFonts w:ascii="宋体" w:hAnsi="宋体"/>
                <w:color w:val="000000"/>
                <w:sz w:val="18"/>
              </w:rPr>
              <w:t>2</w:t>
            </w:r>
          </w:p>
        </w:tc>
      </w:tr>
      <w:tr>
        <w:tblPrEx>
          <w:tblLayout w:type="fixed"/>
          <w:tblCellMar>
            <w:top w:w="0" w:type="dxa"/>
            <w:left w:w="15" w:type="dxa"/>
            <w:bottom w:w="0" w:type="dxa"/>
            <w:right w:w="15" w:type="dxa"/>
          </w:tblCellMar>
        </w:tblPrEx>
        <w:trPr>
          <w:trHeight w:val="450" w:hRule="atLeast"/>
        </w:trPr>
        <w:tc>
          <w:tcPr>
            <w:tcW w:w="1228" w:type="dxa"/>
            <w:vMerge w:val="continue"/>
            <w:tcBorders>
              <w:top w:val="single" w:color="000000" w:sz="4" w:space="0"/>
              <w:left w:val="single" w:color="000000" w:sz="4" w:space="0"/>
              <w:bottom w:val="single" w:color="000000" w:sz="4" w:space="0"/>
              <w:right w:val="single" w:color="000000" w:sz="4" w:space="0"/>
            </w:tcBorders>
            <w:vAlign w:val="center"/>
          </w:tcPr>
          <w:p>
            <w:pPr>
              <w:rPr>
                <w:rFonts w:ascii="宋体" w:hAnsi="宋体"/>
                <w:sz w:val="24"/>
              </w:rPr>
            </w:pPr>
          </w:p>
        </w:tc>
        <w:tc>
          <w:tcPr>
            <w:tcW w:w="3755" w:type="dxa"/>
            <w:gridSpan w:val="2"/>
            <w:vMerge w:val="restart"/>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ascii="宋体" w:hAnsi="宋体"/>
                <w:color w:val="000000"/>
                <w:sz w:val="18"/>
              </w:rPr>
            </w:pPr>
            <w:r>
              <w:rPr>
                <w:rFonts w:ascii="宋体" w:hAnsi="宋体"/>
                <w:color w:val="000000"/>
                <w:sz w:val="18"/>
              </w:rPr>
              <w:t>预算管理</w:t>
            </w:r>
          </w:p>
        </w:tc>
        <w:tc>
          <w:tcPr>
            <w:tcW w:w="2259"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ascii="宋体" w:hAnsi="宋体"/>
                <w:color w:val="000000"/>
                <w:sz w:val="18"/>
              </w:rPr>
            </w:pPr>
            <w:r>
              <w:rPr>
                <w:rFonts w:ascii="宋体" w:hAnsi="宋体"/>
                <w:color w:val="000000"/>
                <w:sz w:val="18"/>
              </w:rPr>
              <w:t>预算管理制度健全性</w:t>
            </w:r>
          </w:p>
        </w:tc>
        <w:tc>
          <w:tcPr>
            <w:tcW w:w="926"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ascii="宋体" w:hAnsi="宋体"/>
                <w:color w:val="000000"/>
                <w:sz w:val="18"/>
              </w:rPr>
            </w:pPr>
            <w:r>
              <w:rPr>
                <w:rFonts w:ascii="宋体" w:hAnsi="宋体"/>
                <w:color w:val="000000"/>
                <w:sz w:val="18"/>
              </w:rPr>
              <w:t>健全</w:t>
            </w:r>
          </w:p>
        </w:tc>
        <w:tc>
          <w:tcPr>
            <w:tcW w:w="3015"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ascii="宋体" w:hAnsi="宋体"/>
                <w:color w:val="000000"/>
                <w:sz w:val="18"/>
              </w:rPr>
            </w:pPr>
            <w:r>
              <w:rPr>
                <w:rFonts w:ascii="宋体" w:hAnsi="宋体"/>
                <w:color w:val="000000"/>
                <w:sz w:val="18"/>
              </w:rPr>
              <w:t>单位是否建立有健全完备的预算管理制度（3分）</w:t>
            </w:r>
          </w:p>
        </w:tc>
        <w:tc>
          <w:tcPr>
            <w:tcW w:w="2123"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ascii="宋体" w:hAnsi="宋体"/>
                <w:color w:val="000000"/>
                <w:sz w:val="18"/>
              </w:rPr>
            </w:pPr>
            <w:r>
              <w:rPr>
                <w:rFonts w:ascii="宋体" w:hAnsi="宋体"/>
                <w:color w:val="000000"/>
                <w:sz w:val="18"/>
              </w:rPr>
              <w:t>建立完善健全的预算管理制度，得3分</w:t>
            </w:r>
          </w:p>
        </w:tc>
        <w:tc>
          <w:tcPr>
            <w:tcW w:w="1061"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ascii="宋体" w:hAnsi="宋体"/>
                <w:color w:val="000000"/>
                <w:sz w:val="18"/>
              </w:rPr>
            </w:pPr>
            <w:r>
              <w:rPr>
                <w:rFonts w:ascii="宋体" w:hAnsi="宋体"/>
                <w:color w:val="000000"/>
                <w:sz w:val="18"/>
              </w:rPr>
              <w:t>3</w:t>
            </w:r>
          </w:p>
        </w:tc>
        <w:tc>
          <w:tcPr>
            <w:tcW w:w="1061"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ascii="宋体" w:hAnsi="宋体"/>
                <w:color w:val="000000"/>
                <w:sz w:val="18"/>
              </w:rPr>
            </w:pPr>
            <w:r>
              <w:rPr>
                <w:rFonts w:hint="eastAsia" w:ascii="宋体" w:hAnsi="宋体"/>
                <w:color w:val="000000"/>
                <w:sz w:val="18"/>
              </w:rPr>
              <w:t>2.9</w:t>
            </w:r>
          </w:p>
        </w:tc>
      </w:tr>
      <w:tr>
        <w:tblPrEx>
          <w:tblLayout w:type="fixed"/>
          <w:tblCellMar>
            <w:top w:w="0" w:type="dxa"/>
            <w:left w:w="15" w:type="dxa"/>
            <w:bottom w:w="0" w:type="dxa"/>
            <w:right w:w="15" w:type="dxa"/>
          </w:tblCellMar>
        </w:tblPrEx>
        <w:trPr>
          <w:trHeight w:val="675" w:hRule="atLeast"/>
        </w:trPr>
        <w:tc>
          <w:tcPr>
            <w:tcW w:w="1228" w:type="dxa"/>
            <w:vMerge w:val="continue"/>
            <w:tcBorders>
              <w:top w:val="single" w:color="000000" w:sz="4" w:space="0"/>
              <w:left w:val="single" w:color="000000" w:sz="4" w:space="0"/>
              <w:bottom w:val="single" w:color="000000" w:sz="4" w:space="0"/>
              <w:right w:val="single" w:color="000000" w:sz="4" w:space="0"/>
            </w:tcBorders>
            <w:vAlign w:val="center"/>
          </w:tcPr>
          <w:p>
            <w:pPr>
              <w:rPr>
                <w:rFonts w:ascii="宋体" w:hAnsi="宋体"/>
                <w:sz w:val="24"/>
              </w:rPr>
            </w:pPr>
          </w:p>
        </w:tc>
        <w:tc>
          <w:tcPr>
            <w:tcW w:w="3755" w:type="dxa"/>
            <w:gridSpan w:val="2"/>
            <w:vMerge w:val="continue"/>
            <w:tcBorders>
              <w:top w:val="single" w:color="000000" w:sz="4" w:space="0"/>
              <w:left w:val="single" w:color="000000" w:sz="4" w:space="0"/>
              <w:bottom w:val="single" w:color="000000" w:sz="4" w:space="0"/>
              <w:right w:val="single" w:color="000000" w:sz="4" w:space="0"/>
            </w:tcBorders>
            <w:vAlign w:val="center"/>
          </w:tcPr>
          <w:p>
            <w:pPr>
              <w:autoSpaceDN w:val="0"/>
              <w:rPr>
                <w:rFonts w:ascii="宋体" w:hAnsi="宋体"/>
                <w:sz w:val="24"/>
              </w:rPr>
            </w:pPr>
          </w:p>
        </w:tc>
        <w:tc>
          <w:tcPr>
            <w:tcW w:w="2259"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ascii="宋体" w:hAnsi="宋体"/>
                <w:color w:val="000000"/>
                <w:sz w:val="18"/>
              </w:rPr>
            </w:pPr>
            <w:r>
              <w:rPr>
                <w:rFonts w:ascii="宋体" w:hAnsi="宋体"/>
                <w:color w:val="000000"/>
                <w:sz w:val="18"/>
              </w:rPr>
              <w:t>资金使用合规性</w:t>
            </w:r>
          </w:p>
        </w:tc>
        <w:tc>
          <w:tcPr>
            <w:tcW w:w="926"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ascii="宋体" w:hAnsi="宋体"/>
                <w:color w:val="000000"/>
                <w:sz w:val="18"/>
              </w:rPr>
            </w:pPr>
            <w:r>
              <w:rPr>
                <w:rFonts w:ascii="宋体" w:hAnsi="宋体"/>
                <w:color w:val="000000"/>
                <w:sz w:val="18"/>
              </w:rPr>
              <w:t>合规</w:t>
            </w:r>
          </w:p>
        </w:tc>
        <w:tc>
          <w:tcPr>
            <w:tcW w:w="3015"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ascii="宋体" w:hAnsi="宋体"/>
                <w:color w:val="000000"/>
                <w:sz w:val="18"/>
              </w:rPr>
            </w:pPr>
            <w:r>
              <w:rPr>
                <w:rFonts w:ascii="宋体" w:hAnsi="宋体"/>
                <w:color w:val="000000"/>
                <w:sz w:val="18"/>
              </w:rPr>
              <w:t>是否严格按照制度执行资金管理各项工作。（3分）</w:t>
            </w:r>
          </w:p>
        </w:tc>
        <w:tc>
          <w:tcPr>
            <w:tcW w:w="2123"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ascii="宋体" w:hAnsi="宋体"/>
                <w:color w:val="000000"/>
                <w:sz w:val="18"/>
              </w:rPr>
            </w:pPr>
            <w:r>
              <w:rPr>
                <w:rFonts w:ascii="宋体" w:hAnsi="宋体"/>
                <w:color w:val="000000"/>
                <w:sz w:val="18"/>
              </w:rPr>
              <w:t>严格按照制度执行资金管理，资金使用合规，得3分</w:t>
            </w:r>
          </w:p>
        </w:tc>
        <w:tc>
          <w:tcPr>
            <w:tcW w:w="1061"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ascii="宋体" w:hAnsi="宋体"/>
                <w:color w:val="000000"/>
                <w:sz w:val="18"/>
              </w:rPr>
            </w:pPr>
            <w:r>
              <w:rPr>
                <w:rFonts w:ascii="宋体" w:hAnsi="宋体"/>
                <w:color w:val="000000"/>
                <w:sz w:val="18"/>
              </w:rPr>
              <w:t>3</w:t>
            </w:r>
          </w:p>
        </w:tc>
        <w:tc>
          <w:tcPr>
            <w:tcW w:w="1061"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ascii="宋体" w:hAnsi="宋体"/>
                <w:color w:val="000000"/>
                <w:sz w:val="18"/>
              </w:rPr>
            </w:pPr>
            <w:r>
              <w:rPr>
                <w:rFonts w:ascii="宋体" w:hAnsi="宋体"/>
                <w:color w:val="000000"/>
                <w:sz w:val="18"/>
              </w:rPr>
              <w:t>3</w:t>
            </w:r>
          </w:p>
        </w:tc>
      </w:tr>
      <w:tr>
        <w:tblPrEx>
          <w:tblLayout w:type="fixed"/>
          <w:tblCellMar>
            <w:top w:w="0" w:type="dxa"/>
            <w:left w:w="15" w:type="dxa"/>
            <w:bottom w:w="0" w:type="dxa"/>
            <w:right w:w="15" w:type="dxa"/>
          </w:tblCellMar>
        </w:tblPrEx>
        <w:trPr>
          <w:trHeight w:val="450" w:hRule="atLeast"/>
        </w:trPr>
        <w:tc>
          <w:tcPr>
            <w:tcW w:w="1228" w:type="dxa"/>
            <w:vMerge w:val="continue"/>
            <w:tcBorders>
              <w:top w:val="single" w:color="000000" w:sz="4" w:space="0"/>
              <w:left w:val="single" w:color="000000" w:sz="4" w:space="0"/>
              <w:bottom w:val="single" w:color="000000" w:sz="4" w:space="0"/>
              <w:right w:val="single" w:color="000000" w:sz="4" w:space="0"/>
            </w:tcBorders>
            <w:vAlign w:val="center"/>
          </w:tcPr>
          <w:p>
            <w:pPr>
              <w:rPr>
                <w:rFonts w:ascii="宋体" w:hAnsi="宋体"/>
                <w:sz w:val="24"/>
              </w:rPr>
            </w:pPr>
          </w:p>
        </w:tc>
        <w:tc>
          <w:tcPr>
            <w:tcW w:w="3755" w:type="dxa"/>
            <w:gridSpan w:val="2"/>
            <w:vMerge w:val="continue"/>
            <w:tcBorders>
              <w:top w:val="single" w:color="000000" w:sz="4" w:space="0"/>
              <w:left w:val="single" w:color="000000" w:sz="4" w:space="0"/>
              <w:bottom w:val="single" w:color="000000" w:sz="4" w:space="0"/>
              <w:right w:val="single" w:color="000000" w:sz="4" w:space="0"/>
            </w:tcBorders>
            <w:vAlign w:val="center"/>
          </w:tcPr>
          <w:p>
            <w:pPr>
              <w:autoSpaceDN w:val="0"/>
              <w:rPr>
                <w:rFonts w:ascii="宋体" w:hAnsi="宋体"/>
                <w:sz w:val="24"/>
              </w:rPr>
            </w:pPr>
          </w:p>
        </w:tc>
        <w:tc>
          <w:tcPr>
            <w:tcW w:w="2259"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ascii="宋体" w:hAnsi="宋体"/>
                <w:color w:val="000000"/>
                <w:sz w:val="18"/>
              </w:rPr>
            </w:pPr>
            <w:r>
              <w:rPr>
                <w:rFonts w:ascii="宋体" w:hAnsi="宋体"/>
                <w:color w:val="000000"/>
                <w:sz w:val="18"/>
              </w:rPr>
              <w:t>绩效管理覆盖率</w:t>
            </w:r>
          </w:p>
        </w:tc>
        <w:tc>
          <w:tcPr>
            <w:tcW w:w="926"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ascii="宋体" w:hAnsi="宋体"/>
                <w:color w:val="000000"/>
                <w:sz w:val="18"/>
              </w:rPr>
            </w:pPr>
            <w:r>
              <w:rPr>
                <w:rFonts w:ascii="宋体" w:hAnsi="宋体"/>
                <w:color w:val="000000"/>
                <w:sz w:val="18"/>
              </w:rPr>
              <w:t>＝100%</w:t>
            </w:r>
          </w:p>
        </w:tc>
        <w:tc>
          <w:tcPr>
            <w:tcW w:w="3015"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ascii="宋体" w:hAnsi="宋体"/>
                <w:color w:val="000000"/>
                <w:sz w:val="18"/>
              </w:rPr>
            </w:pPr>
            <w:r>
              <w:rPr>
                <w:rFonts w:ascii="宋体" w:hAnsi="宋体"/>
                <w:color w:val="000000"/>
                <w:sz w:val="18"/>
              </w:rPr>
              <w:t>单位预算绩效管理是否全覆盖（2分）</w:t>
            </w:r>
          </w:p>
        </w:tc>
        <w:tc>
          <w:tcPr>
            <w:tcW w:w="2123"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ascii="宋体" w:hAnsi="宋体"/>
                <w:color w:val="000000"/>
                <w:sz w:val="18"/>
              </w:rPr>
            </w:pPr>
            <w:r>
              <w:rPr>
                <w:rFonts w:ascii="宋体" w:hAnsi="宋体"/>
                <w:color w:val="000000"/>
                <w:sz w:val="18"/>
              </w:rPr>
              <w:t>本单位预算绩效管理已全覆盖，得2分</w:t>
            </w:r>
          </w:p>
        </w:tc>
        <w:tc>
          <w:tcPr>
            <w:tcW w:w="1061"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ascii="宋体" w:hAnsi="宋体"/>
                <w:color w:val="000000"/>
                <w:sz w:val="18"/>
              </w:rPr>
            </w:pPr>
            <w:r>
              <w:rPr>
                <w:rFonts w:ascii="宋体" w:hAnsi="宋体"/>
                <w:color w:val="000000"/>
                <w:sz w:val="18"/>
              </w:rPr>
              <w:t>2</w:t>
            </w:r>
          </w:p>
        </w:tc>
        <w:tc>
          <w:tcPr>
            <w:tcW w:w="1061"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ascii="宋体" w:hAnsi="宋体"/>
                <w:color w:val="000000"/>
                <w:sz w:val="18"/>
              </w:rPr>
            </w:pPr>
            <w:r>
              <w:rPr>
                <w:rFonts w:ascii="宋体" w:hAnsi="宋体"/>
                <w:color w:val="000000"/>
                <w:sz w:val="18"/>
              </w:rPr>
              <w:t>2</w:t>
            </w:r>
          </w:p>
        </w:tc>
      </w:tr>
      <w:tr>
        <w:tblPrEx>
          <w:tblLayout w:type="fixed"/>
          <w:tblCellMar>
            <w:top w:w="0" w:type="dxa"/>
            <w:left w:w="15" w:type="dxa"/>
            <w:bottom w:w="0" w:type="dxa"/>
            <w:right w:w="15" w:type="dxa"/>
          </w:tblCellMar>
        </w:tblPrEx>
        <w:trPr>
          <w:trHeight w:val="450" w:hRule="atLeast"/>
        </w:trPr>
        <w:tc>
          <w:tcPr>
            <w:tcW w:w="1228" w:type="dxa"/>
            <w:vMerge w:val="continue"/>
            <w:tcBorders>
              <w:top w:val="single" w:color="000000" w:sz="4" w:space="0"/>
              <w:left w:val="single" w:color="000000" w:sz="4" w:space="0"/>
              <w:bottom w:val="single" w:color="000000" w:sz="4" w:space="0"/>
              <w:right w:val="single" w:color="000000" w:sz="4" w:space="0"/>
            </w:tcBorders>
            <w:vAlign w:val="center"/>
          </w:tcPr>
          <w:p>
            <w:pPr>
              <w:rPr>
                <w:rFonts w:ascii="宋体" w:hAnsi="宋体"/>
                <w:sz w:val="24"/>
              </w:rPr>
            </w:pPr>
          </w:p>
        </w:tc>
        <w:tc>
          <w:tcPr>
            <w:tcW w:w="3755" w:type="dxa"/>
            <w:gridSpan w:val="2"/>
            <w:vMerge w:val="continue"/>
            <w:tcBorders>
              <w:top w:val="single" w:color="000000" w:sz="4" w:space="0"/>
              <w:left w:val="single" w:color="000000" w:sz="4" w:space="0"/>
              <w:bottom w:val="single" w:color="000000" w:sz="4" w:space="0"/>
              <w:right w:val="single" w:color="000000" w:sz="4" w:space="0"/>
            </w:tcBorders>
            <w:vAlign w:val="center"/>
          </w:tcPr>
          <w:p>
            <w:pPr>
              <w:autoSpaceDN w:val="0"/>
              <w:rPr>
                <w:rFonts w:ascii="宋体" w:hAnsi="宋体"/>
                <w:sz w:val="24"/>
              </w:rPr>
            </w:pPr>
          </w:p>
        </w:tc>
        <w:tc>
          <w:tcPr>
            <w:tcW w:w="2259"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ascii="宋体" w:hAnsi="宋体"/>
                <w:color w:val="000000"/>
                <w:sz w:val="18"/>
              </w:rPr>
            </w:pPr>
            <w:r>
              <w:rPr>
                <w:rFonts w:ascii="宋体" w:hAnsi="宋体"/>
                <w:color w:val="000000"/>
                <w:sz w:val="18"/>
              </w:rPr>
              <w:t>基础信息完善性</w:t>
            </w:r>
          </w:p>
        </w:tc>
        <w:tc>
          <w:tcPr>
            <w:tcW w:w="926"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ascii="宋体" w:hAnsi="宋体"/>
                <w:color w:val="000000"/>
                <w:sz w:val="18"/>
              </w:rPr>
            </w:pPr>
            <w:r>
              <w:rPr>
                <w:rFonts w:ascii="宋体" w:hAnsi="宋体"/>
                <w:color w:val="000000"/>
                <w:sz w:val="18"/>
              </w:rPr>
              <w:t>完善</w:t>
            </w:r>
          </w:p>
        </w:tc>
        <w:tc>
          <w:tcPr>
            <w:tcW w:w="3015"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ascii="宋体" w:hAnsi="宋体"/>
                <w:color w:val="000000"/>
                <w:sz w:val="18"/>
              </w:rPr>
            </w:pPr>
            <w:r>
              <w:rPr>
                <w:rFonts w:ascii="宋体" w:hAnsi="宋体"/>
                <w:color w:val="000000"/>
                <w:sz w:val="18"/>
              </w:rPr>
              <w:t>预算管理基础信息是否完善（2分）</w:t>
            </w:r>
          </w:p>
        </w:tc>
        <w:tc>
          <w:tcPr>
            <w:tcW w:w="2123"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ascii="宋体" w:hAnsi="宋体"/>
                <w:color w:val="000000"/>
                <w:sz w:val="18"/>
              </w:rPr>
            </w:pPr>
            <w:r>
              <w:rPr>
                <w:rFonts w:ascii="宋体" w:hAnsi="宋体"/>
                <w:color w:val="000000"/>
                <w:sz w:val="18"/>
              </w:rPr>
              <w:t>本单位预算管理基础信息完善，得2分</w:t>
            </w:r>
          </w:p>
        </w:tc>
        <w:tc>
          <w:tcPr>
            <w:tcW w:w="1061"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ascii="宋体" w:hAnsi="宋体"/>
                <w:color w:val="000000"/>
                <w:sz w:val="18"/>
              </w:rPr>
            </w:pPr>
            <w:r>
              <w:rPr>
                <w:rFonts w:ascii="宋体" w:hAnsi="宋体"/>
                <w:color w:val="000000"/>
                <w:sz w:val="18"/>
              </w:rPr>
              <w:t>2</w:t>
            </w:r>
          </w:p>
        </w:tc>
        <w:tc>
          <w:tcPr>
            <w:tcW w:w="1061"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ascii="宋体" w:hAnsi="宋体"/>
                <w:color w:val="000000"/>
                <w:sz w:val="18"/>
              </w:rPr>
            </w:pPr>
            <w:r>
              <w:rPr>
                <w:rFonts w:ascii="宋体" w:hAnsi="宋体"/>
                <w:color w:val="000000"/>
                <w:sz w:val="18"/>
              </w:rPr>
              <w:t>2</w:t>
            </w:r>
          </w:p>
        </w:tc>
      </w:tr>
      <w:tr>
        <w:tblPrEx>
          <w:tblLayout w:type="fixed"/>
          <w:tblCellMar>
            <w:top w:w="0" w:type="dxa"/>
            <w:left w:w="15" w:type="dxa"/>
            <w:bottom w:w="0" w:type="dxa"/>
            <w:right w:w="15" w:type="dxa"/>
          </w:tblCellMar>
        </w:tblPrEx>
        <w:trPr>
          <w:trHeight w:val="900" w:hRule="atLeast"/>
        </w:trPr>
        <w:tc>
          <w:tcPr>
            <w:tcW w:w="1228" w:type="dxa"/>
            <w:vMerge w:val="continue"/>
            <w:tcBorders>
              <w:top w:val="single" w:color="000000" w:sz="4" w:space="0"/>
              <w:left w:val="single" w:color="000000" w:sz="4" w:space="0"/>
              <w:bottom w:val="single" w:color="000000" w:sz="4" w:space="0"/>
              <w:right w:val="single" w:color="000000" w:sz="4" w:space="0"/>
            </w:tcBorders>
            <w:vAlign w:val="center"/>
          </w:tcPr>
          <w:p>
            <w:pPr>
              <w:rPr>
                <w:rFonts w:ascii="宋体" w:hAnsi="宋体"/>
                <w:sz w:val="24"/>
              </w:rPr>
            </w:pPr>
          </w:p>
        </w:tc>
        <w:tc>
          <w:tcPr>
            <w:tcW w:w="3755" w:type="dxa"/>
            <w:gridSpan w:val="2"/>
            <w:vMerge w:val="continue"/>
            <w:tcBorders>
              <w:top w:val="single" w:color="000000" w:sz="4" w:space="0"/>
              <w:left w:val="single" w:color="000000" w:sz="4" w:space="0"/>
              <w:bottom w:val="single" w:color="000000" w:sz="4" w:space="0"/>
              <w:right w:val="single" w:color="000000" w:sz="4" w:space="0"/>
            </w:tcBorders>
            <w:vAlign w:val="center"/>
          </w:tcPr>
          <w:p>
            <w:pPr>
              <w:autoSpaceDN w:val="0"/>
              <w:rPr>
                <w:rFonts w:ascii="宋体" w:hAnsi="宋体"/>
                <w:sz w:val="24"/>
              </w:rPr>
            </w:pPr>
          </w:p>
        </w:tc>
        <w:tc>
          <w:tcPr>
            <w:tcW w:w="2259"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ascii="宋体" w:hAnsi="宋体"/>
                <w:color w:val="000000"/>
                <w:sz w:val="18"/>
              </w:rPr>
            </w:pPr>
            <w:r>
              <w:rPr>
                <w:rFonts w:ascii="宋体" w:hAnsi="宋体"/>
                <w:color w:val="000000"/>
                <w:sz w:val="18"/>
              </w:rPr>
              <w:t>预决算信息公开度</w:t>
            </w:r>
          </w:p>
        </w:tc>
        <w:tc>
          <w:tcPr>
            <w:tcW w:w="926"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ascii="宋体" w:hAnsi="宋体"/>
                <w:color w:val="000000"/>
                <w:sz w:val="18"/>
              </w:rPr>
            </w:pPr>
            <w:r>
              <w:rPr>
                <w:rFonts w:ascii="宋体" w:hAnsi="宋体"/>
                <w:color w:val="000000"/>
                <w:sz w:val="18"/>
              </w:rPr>
              <w:t>公开</w:t>
            </w:r>
          </w:p>
        </w:tc>
        <w:tc>
          <w:tcPr>
            <w:tcW w:w="3015"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ascii="宋体" w:hAnsi="宋体"/>
                <w:color w:val="000000"/>
                <w:sz w:val="18"/>
              </w:rPr>
            </w:pPr>
            <w:r>
              <w:rPr>
                <w:rFonts w:ascii="宋体" w:hAnsi="宋体"/>
                <w:color w:val="000000"/>
                <w:sz w:val="18"/>
              </w:rPr>
              <w:t>预决算是否在“双平台”进行公开（1分），内容和时限是否符合要求（2分）</w:t>
            </w:r>
          </w:p>
        </w:tc>
        <w:tc>
          <w:tcPr>
            <w:tcW w:w="2123"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ascii="宋体" w:hAnsi="宋体"/>
                <w:color w:val="000000"/>
                <w:sz w:val="18"/>
              </w:rPr>
            </w:pPr>
            <w:r>
              <w:rPr>
                <w:rFonts w:ascii="宋体" w:hAnsi="宋体"/>
                <w:color w:val="000000"/>
                <w:sz w:val="18"/>
              </w:rPr>
              <w:t>预决算工作已按规定及时进行公开，得3分</w:t>
            </w:r>
          </w:p>
        </w:tc>
        <w:tc>
          <w:tcPr>
            <w:tcW w:w="1061"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ascii="宋体" w:hAnsi="宋体"/>
                <w:color w:val="000000"/>
                <w:sz w:val="18"/>
              </w:rPr>
            </w:pPr>
            <w:r>
              <w:rPr>
                <w:rFonts w:ascii="宋体" w:hAnsi="宋体"/>
                <w:color w:val="000000"/>
                <w:sz w:val="18"/>
              </w:rPr>
              <w:t>3</w:t>
            </w:r>
          </w:p>
        </w:tc>
        <w:tc>
          <w:tcPr>
            <w:tcW w:w="1061"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ascii="宋体" w:hAnsi="宋体"/>
                <w:color w:val="000000"/>
                <w:sz w:val="18"/>
              </w:rPr>
            </w:pPr>
            <w:r>
              <w:rPr>
                <w:rFonts w:ascii="宋体" w:hAnsi="宋体"/>
                <w:color w:val="000000"/>
                <w:sz w:val="18"/>
              </w:rPr>
              <w:t>3</w:t>
            </w:r>
          </w:p>
        </w:tc>
      </w:tr>
      <w:tr>
        <w:tblPrEx>
          <w:tblLayout w:type="fixed"/>
          <w:tblCellMar>
            <w:top w:w="0" w:type="dxa"/>
            <w:left w:w="15" w:type="dxa"/>
            <w:bottom w:w="0" w:type="dxa"/>
            <w:right w:w="15" w:type="dxa"/>
          </w:tblCellMar>
        </w:tblPrEx>
        <w:trPr>
          <w:trHeight w:val="450" w:hRule="atLeast"/>
        </w:trPr>
        <w:tc>
          <w:tcPr>
            <w:tcW w:w="1228" w:type="dxa"/>
            <w:vMerge w:val="continue"/>
            <w:tcBorders>
              <w:top w:val="single" w:color="000000" w:sz="4" w:space="0"/>
              <w:left w:val="single" w:color="000000" w:sz="4" w:space="0"/>
              <w:bottom w:val="single" w:color="000000" w:sz="4" w:space="0"/>
              <w:right w:val="single" w:color="000000" w:sz="4" w:space="0"/>
            </w:tcBorders>
            <w:vAlign w:val="center"/>
          </w:tcPr>
          <w:p>
            <w:pPr>
              <w:rPr>
                <w:rFonts w:ascii="宋体" w:hAnsi="宋体"/>
                <w:sz w:val="24"/>
              </w:rPr>
            </w:pPr>
          </w:p>
        </w:tc>
        <w:tc>
          <w:tcPr>
            <w:tcW w:w="3755" w:type="dxa"/>
            <w:gridSpan w:val="2"/>
            <w:vMerge w:val="continue"/>
            <w:tcBorders>
              <w:top w:val="single" w:color="000000" w:sz="4" w:space="0"/>
              <w:left w:val="single" w:color="000000" w:sz="4" w:space="0"/>
              <w:bottom w:val="single" w:color="000000" w:sz="4" w:space="0"/>
              <w:right w:val="single" w:color="000000" w:sz="4" w:space="0"/>
            </w:tcBorders>
            <w:vAlign w:val="center"/>
          </w:tcPr>
          <w:p>
            <w:pPr>
              <w:autoSpaceDN w:val="0"/>
              <w:rPr>
                <w:rFonts w:ascii="宋体" w:hAnsi="宋体"/>
                <w:sz w:val="24"/>
              </w:rPr>
            </w:pPr>
          </w:p>
        </w:tc>
        <w:tc>
          <w:tcPr>
            <w:tcW w:w="2259"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ascii="宋体" w:hAnsi="宋体"/>
                <w:color w:val="000000"/>
                <w:sz w:val="18"/>
              </w:rPr>
            </w:pPr>
            <w:r>
              <w:rPr>
                <w:rFonts w:ascii="宋体" w:hAnsi="宋体"/>
                <w:color w:val="000000"/>
                <w:sz w:val="18"/>
              </w:rPr>
              <w:t>非税收入管理合规性</w:t>
            </w:r>
          </w:p>
        </w:tc>
        <w:tc>
          <w:tcPr>
            <w:tcW w:w="926"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ascii="宋体" w:hAnsi="宋体"/>
                <w:color w:val="000000"/>
                <w:sz w:val="18"/>
              </w:rPr>
            </w:pPr>
            <w:r>
              <w:rPr>
                <w:rFonts w:ascii="宋体" w:hAnsi="宋体"/>
                <w:color w:val="000000"/>
                <w:sz w:val="18"/>
              </w:rPr>
              <w:t>合规</w:t>
            </w:r>
          </w:p>
        </w:tc>
        <w:tc>
          <w:tcPr>
            <w:tcW w:w="3015"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ascii="宋体" w:hAnsi="宋体"/>
                <w:color w:val="000000"/>
                <w:sz w:val="18"/>
              </w:rPr>
            </w:pPr>
            <w:r>
              <w:rPr>
                <w:rFonts w:ascii="宋体" w:hAnsi="宋体"/>
                <w:color w:val="000000"/>
                <w:sz w:val="18"/>
              </w:rPr>
              <w:t>本单位非税收入管理是否合规（2分）</w:t>
            </w:r>
          </w:p>
        </w:tc>
        <w:tc>
          <w:tcPr>
            <w:tcW w:w="2123"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ascii="宋体" w:hAnsi="宋体"/>
                <w:color w:val="000000"/>
                <w:sz w:val="18"/>
              </w:rPr>
            </w:pPr>
            <w:r>
              <w:rPr>
                <w:rFonts w:ascii="宋体" w:hAnsi="宋体"/>
                <w:color w:val="000000"/>
                <w:sz w:val="18"/>
              </w:rPr>
              <w:t>本单位非税收入管理合规，得2分</w:t>
            </w:r>
          </w:p>
        </w:tc>
        <w:tc>
          <w:tcPr>
            <w:tcW w:w="1061"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ascii="宋体" w:hAnsi="宋体"/>
                <w:color w:val="000000"/>
                <w:sz w:val="18"/>
              </w:rPr>
            </w:pPr>
            <w:r>
              <w:rPr>
                <w:rFonts w:ascii="宋体" w:hAnsi="宋体"/>
                <w:color w:val="000000"/>
                <w:sz w:val="18"/>
              </w:rPr>
              <w:t>2</w:t>
            </w:r>
          </w:p>
        </w:tc>
        <w:tc>
          <w:tcPr>
            <w:tcW w:w="1061"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ascii="宋体" w:hAnsi="宋体"/>
                <w:color w:val="000000"/>
                <w:sz w:val="18"/>
              </w:rPr>
            </w:pPr>
            <w:r>
              <w:rPr>
                <w:rFonts w:ascii="宋体" w:hAnsi="宋体"/>
                <w:color w:val="000000"/>
                <w:sz w:val="18"/>
              </w:rPr>
              <w:t>2</w:t>
            </w:r>
          </w:p>
        </w:tc>
      </w:tr>
      <w:tr>
        <w:tblPrEx>
          <w:tblLayout w:type="fixed"/>
          <w:tblCellMar>
            <w:top w:w="0" w:type="dxa"/>
            <w:left w:w="15" w:type="dxa"/>
            <w:bottom w:w="0" w:type="dxa"/>
            <w:right w:w="15" w:type="dxa"/>
          </w:tblCellMar>
        </w:tblPrEx>
        <w:trPr>
          <w:trHeight w:val="450" w:hRule="atLeast"/>
        </w:trPr>
        <w:tc>
          <w:tcPr>
            <w:tcW w:w="1228" w:type="dxa"/>
            <w:vMerge w:val="continue"/>
            <w:tcBorders>
              <w:top w:val="single" w:color="000000" w:sz="4" w:space="0"/>
              <w:left w:val="single" w:color="000000" w:sz="4" w:space="0"/>
              <w:bottom w:val="single" w:color="000000" w:sz="4" w:space="0"/>
              <w:right w:val="single" w:color="000000" w:sz="4" w:space="0"/>
            </w:tcBorders>
            <w:vAlign w:val="center"/>
          </w:tcPr>
          <w:p>
            <w:pPr>
              <w:rPr>
                <w:rFonts w:ascii="宋体" w:hAnsi="宋体"/>
                <w:sz w:val="24"/>
              </w:rPr>
            </w:pPr>
          </w:p>
        </w:tc>
        <w:tc>
          <w:tcPr>
            <w:tcW w:w="3755" w:type="dxa"/>
            <w:gridSpan w:val="2"/>
            <w:vMerge w:val="restart"/>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ascii="宋体" w:hAnsi="宋体"/>
                <w:color w:val="000000"/>
                <w:sz w:val="18"/>
              </w:rPr>
            </w:pPr>
            <w:r>
              <w:rPr>
                <w:rFonts w:ascii="宋体" w:hAnsi="宋体"/>
                <w:color w:val="000000"/>
                <w:sz w:val="18"/>
              </w:rPr>
              <w:t>资产管理</w:t>
            </w:r>
          </w:p>
        </w:tc>
        <w:tc>
          <w:tcPr>
            <w:tcW w:w="2259"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ascii="宋体" w:hAnsi="宋体"/>
                <w:color w:val="000000"/>
                <w:sz w:val="18"/>
              </w:rPr>
            </w:pPr>
            <w:r>
              <w:rPr>
                <w:rFonts w:ascii="宋体" w:hAnsi="宋体"/>
                <w:color w:val="000000"/>
                <w:sz w:val="18"/>
              </w:rPr>
              <w:t>资产管理制度健全性</w:t>
            </w:r>
          </w:p>
        </w:tc>
        <w:tc>
          <w:tcPr>
            <w:tcW w:w="926"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ascii="宋体" w:hAnsi="宋体"/>
                <w:color w:val="000000"/>
                <w:sz w:val="18"/>
              </w:rPr>
            </w:pPr>
            <w:r>
              <w:rPr>
                <w:rFonts w:ascii="宋体" w:hAnsi="宋体"/>
                <w:color w:val="000000"/>
                <w:sz w:val="18"/>
              </w:rPr>
              <w:t>健全</w:t>
            </w:r>
          </w:p>
        </w:tc>
        <w:tc>
          <w:tcPr>
            <w:tcW w:w="3015"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ascii="宋体" w:hAnsi="宋体"/>
                <w:color w:val="000000"/>
                <w:sz w:val="18"/>
              </w:rPr>
            </w:pPr>
            <w:r>
              <w:rPr>
                <w:rFonts w:ascii="宋体" w:hAnsi="宋体"/>
                <w:color w:val="000000"/>
                <w:sz w:val="18"/>
              </w:rPr>
              <w:t>单位是否建立有健全完备的资产管理制度（3分）</w:t>
            </w:r>
          </w:p>
        </w:tc>
        <w:tc>
          <w:tcPr>
            <w:tcW w:w="2123"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ascii="宋体" w:hAnsi="宋体"/>
                <w:color w:val="000000"/>
                <w:sz w:val="18"/>
              </w:rPr>
            </w:pPr>
            <w:r>
              <w:rPr>
                <w:rFonts w:ascii="宋体" w:hAnsi="宋体"/>
                <w:color w:val="000000"/>
                <w:sz w:val="18"/>
              </w:rPr>
              <w:t>建立完善健全的资产管理制度，得3分</w:t>
            </w:r>
          </w:p>
        </w:tc>
        <w:tc>
          <w:tcPr>
            <w:tcW w:w="1061"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ascii="宋体" w:hAnsi="宋体"/>
                <w:color w:val="000000"/>
                <w:sz w:val="18"/>
              </w:rPr>
            </w:pPr>
            <w:r>
              <w:rPr>
                <w:rFonts w:ascii="宋体" w:hAnsi="宋体"/>
                <w:color w:val="000000"/>
                <w:sz w:val="18"/>
              </w:rPr>
              <w:t>3</w:t>
            </w:r>
          </w:p>
        </w:tc>
        <w:tc>
          <w:tcPr>
            <w:tcW w:w="1061"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ascii="宋体" w:hAnsi="宋体"/>
                <w:color w:val="000000"/>
                <w:sz w:val="18"/>
              </w:rPr>
            </w:pPr>
            <w:r>
              <w:rPr>
                <w:rFonts w:ascii="宋体" w:hAnsi="宋体"/>
                <w:color w:val="000000"/>
                <w:sz w:val="18"/>
              </w:rPr>
              <w:t>3</w:t>
            </w:r>
          </w:p>
        </w:tc>
      </w:tr>
      <w:tr>
        <w:tblPrEx>
          <w:tblLayout w:type="fixed"/>
          <w:tblCellMar>
            <w:top w:w="0" w:type="dxa"/>
            <w:left w:w="15" w:type="dxa"/>
            <w:bottom w:w="0" w:type="dxa"/>
            <w:right w:w="15" w:type="dxa"/>
          </w:tblCellMar>
        </w:tblPrEx>
        <w:trPr>
          <w:trHeight w:val="450" w:hRule="atLeast"/>
        </w:trPr>
        <w:tc>
          <w:tcPr>
            <w:tcW w:w="1228" w:type="dxa"/>
            <w:vMerge w:val="continue"/>
            <w:tcBorders>
              <w:top w:val="single" w:color="000000" w:sz="4" w:space="0"/>
              <w:left w:val="single" w:color="000000" w:sz="4" w:space="0"/>
              <w:bottom w:val="single" w:color="000000" w:sz="4" w:space="0"/>
              <w:right w:val="single" w:color="000000" w:sz="4" w:space="0"/>
            </w:tcBorders>
            <w:vAlign w:val="center"/>
          </w:tcPr>
          <w:p>
            <w:pPr>
              <w:rPr>
                <w:rFonts w:ascii="宋体" w:hAnsi="宋体"/>
                <w:sz w:val="24"/>
              </w:rPr>
            </w:pPr>
          </w:p>
        </w:tc>
        <w:tc>
          <w:tcPr>
            <w:tcW w:w="3755" w:type="dxa"/>
            <w:gridSpan w:val="2"/>
            <w:vMerge w:val="continue"/>
            <w:tcBorders>
              <w:top w:val="single" w:color="000000" w:sz="4" w:space="0"/>
              <w:left w:val="single" w:color="000000" w:sz="4" w:space="0"/>
              <w:bottom w:val="single" w:color="000000" w:sz="4" w:space="0"/>
              <w:right w:val="single" w:color="000000" w:sz="4" w:space="0"/>
            </w:tcBorders>
            <w:vAlign w:val="center"/>
          </w:tcPr>
          <w:p>
            <w:pPr>
              <w:autoSpaceDN w:val="0"/>
              <w:rPr>
                <w:rFonts w:ascii="宋体" w:hAnsi="宋体"/>
                <w:sz w:val="24"/>
              </w:rPr>
            </w:pPr>
          </w:p>
        </w:tc>
        <w:tc>
          <w:tcPr>
            <w:tcW w:w="2259"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ascii="宋体" w:hAnsi="宋体"/>
                <w:color w:val="000000"/>
                <w:sz w:val="18"/>
              </w:rPr>
            </w:pPr>
            <w:r>
              <w:rPr>
                <w:rFonts w:ascii="宋体" w:hAnsi="宋体"/>
                <w:color w:val="000000"/>
                <w:sz w:val="18"/>
              </w:rPr>
              <w:t>资产管理规范性</w:t>
            </w:r>
          </w:p>
        </w:tc>
        <w:tc>
          <w:tcPr>
            <w:tcW w:w="926"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ascii="宋体" w:hAnsi="宋体"/>
                <w:color w:val="000000"/>
                <w:sz w:val="18"/>
              </w:rPr>
            </w:pPr>
            <w:r>
              <w:rPr>
                <w:rFonts w:ascii="宋体" w:hAnsi="宋体"/>
                <w:color w:val="000000"/>
                <w:sz w:val="18"/>
              </w:rPr>
              <w:t>规范</w:t>
            </w:r>
          </w:p>
        </w:tc>
        <w:tc>
          <w:tcPr>
            <w:tcW w:w="3015"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ascii="宋体" w:hAnsi="宋体"/>
                <w:color w:val="000000"/>
                <w:sz w:val="18"/>
              </w:rPr>
            </w:pPr>
            <w:r>
              <w:rPr>
                <w:rFonts w:ascii="宋体" w:hAnsi="宋体"/>
                <w:color w:val="000000"/>
                <w:sz w:val="18"/>
              </w:rPr>
              <w:t>单位资产管理制度执行是否规范、有效（3分）</w:t>
            </w:r>
          </w:p>
        </w:tc>
        <w:tc>
          <w:tcPr>
            <w:tcW w:w="2123"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ascii="宋体" w:hAnsi="宋体"/>
                <w:color w:val="000000"/>
                <w:sz w:val="18"/>
              </w:rPr>
            </w:pPr>
            <w:r>
              <w:rPr>
                <w:rFonts w:ascii="宋体" w:hAnsi="宋体"/>
                <w:color w:val="000000"/>
                <w:sz w:val="18"/>
              </w:rPr>
              <w:t>单位资产管理制度执行规范、有效，得3分</w:t>
            </w:r>
          </w:p>
        </w:tc>
        <w:tc>
          <w:tcPr>
            <w:tcW w:w="1061"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ascii="宋体" w:hAnsi="宋体"/>
                <w:color w:val="000000"/>
                <w:sz w:val="18"/>
              </w:rPr>
            </w:pPr>
            <w:r>
              <w:rPr>
                <w:rFonts w:ascii="宋体" w:hAnsi="宋体"/>
                <w:color w:val="000000"/>
                <w:sz w:val="18"/>
              </w:rPr>
              <w:t>3</w:t>
            </w:r>
          </w:p>
        </w:tc>
        <w:tc>
          <w:tcPr>
            <w:tcW w:w="1061"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ascii="宋体" w:hAnsi="宋体"/>
                <w:color w:val="000000"/>
                <w:sz w:val="18"/>
              </w:rPr>
            </w:pPr>
            <w:r>
              <w:rPr>
                <w:rFonts w:ascii="宋体" w:hAnsi="宋体"/>
                <w:color w:val="000000"/>
                <w:sz w:val="18"/>
              </w:rPr>
              <w:t>3</w:t>
            </w:r>
          </w:p>
        </w:tc>
      </w:tr>
      <w:tr>
        <w:tblPrEx>
          <w:tblLayout w:type="fixed"/>
          <w:tblCellMar>
            <w:top w:w="0" w:type="dxa"/>
            <w:left w:w="15" w:type="dxa"/>
            <w:bottom w:w="0" w:type="dxa"/>
            <w:right w:w="15" w:type="dxa"/>
          </w:tblCellMar>
        </w:tblPrEx>
        <w:trPr>
          <w:trHeight w:val="675" w:hRule="atLeast"/>
        </w:trPr>
        <w:tc>
          <w:tcPr>
            <w:tcW w:w="1228" w:type="dxa"/>
            <w:vMerge w:val="continue"/>
            <w:tcBorders>
              <w:top w:val="single" w:color="000000" w:sz="4" w:space="0"/>
              <w:left w:val="single" w:color="000000" w:sz="4" w:space="0"/>
              <w:bottom w:val="single" w:color="000000" w:sz="4" w:space="0"/>
              <w:right w:val="single" w:color="000000" w:sz="4" w:space="0"/>
            </w:tcBorders>
            <w:vAlign w:val="center"/>
          </w:tcPr>
          <w:p>
            <w:pPr>
              <w:rPr>
                <w:rFonts w:ascii="宋体" w:hAnsi="宋体"/>
                <w:sz w:val="24"/>
              </w:rPr>
            </w:pPr>
          </w:p>
        </w:tc>
        <w:tc>
          <w:tcPr>
            <w:tcW w:w="3755" w:type="dxa"/>
            <w:gridSpan w:val="2"/>
            <w:vMerge w:val="continue"/>
            <w:tcBorders>
              <w:top w:val="single" w:color="000000" w:sz="4" w:space="0"/>
              <w:left w:val="single" w:color="000000" w:sz="4" w:space="0"/>
              <w:bottom w:val="single" w:color="000000" w:sz="4" w:space="0"/>
              <w:right w:val="single" w:color="000000" w:sz="4" w:space="0"/>
            </w:tcBorders>
            <w:vAlign w:val="center"/>
          </w:tcPr>
          <w:p>
            <w:pPr>
              <w:autoSpaceDN w:val="0"/>
              <w:rPr>
                <w:rFonts w:ascii="宋体" w:hAnsi="宋体"/>
                <w:sz w:val="24"/>
              </w:rPr>
            </w:pPr>
          </w:p>
        </w:tc>
        <w:tc>
          <w:tcPr>
            <w:tcW w:w="2259"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ascii="宋体" w:hAnsi="宋体"/>
                <w:color w:val="000000"/>
                <w:sz w:val="18"/>
              </w:rPr>
            </w:pPr>
            <w:r>
              <w:rPr>
                <w:rFonts w:ascii="宋体" w:hAnsi="宋体"/>
                <w:color w:val="000000"/>
                <w:sz w:val="18"/>
              </w:rPr>
              <w:t>固定资产利用率</w:t>
            </w:r>
          </w:p>
        </w:tc>
        <w:tc>
          <w:tcPr>
            <w:tcW w:w="926"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ascii="宋体" w:hAnsi="宋体"/>
                <w:color w:val="000000"/>
                <w:sz w:val="18"/>
              </w:rPr>
            </w:pPr>
            <w:r>
              <w:rPr>
                <w:rFonts w:ascii="宋体" w:hAnsi="宋体"/>
                <w:color w:val="000000"/>
                <w:sz w:val="18"/>
              </w:rPr>
              <w:t>＝100%</w:t>
            </w:r>
          </w:p>
        </w:tc>
        <w:tc>
          <w:tcPr>
            <w:tcW w:w="3015"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ascii="宋体" w:hAnsi="宋体"/>
                <w:color w:val="000000"/>
                <w:sz w:val="18"/>
              </w:rPr>
            </w:pPr>
            <w:r>
              <w:rPr>
                <w:rFonts w:ascii="宋体" w:hAnsi="宋体"/>
                <w:color w:val="000000"/>
                <w:sz w:val="18"/>
              </w:rPr>
              <w:t>固定资产是否完全利用，未闲置（2分）</w:t>
            </w:r>
          </w:p>
        </w:tc>
        <w:tc>
          <w:tcPr>
            <w:tcW w:w="2123"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ascii="宋体" w:hAnsi="宋体"/>
                <w:color w:val="000000"/>
                <w:sz w:val="18"/>
              </w:rPr>
            </w:pPr>
            <w:r>
              <w:rPr>
                <w:rFonts w:ascii="宋体" w:hAnsi="宋体"/>
                <w:color w:val="000000"/>
                <w:sz w:val="18"/>
              </w:rPr>
              <w:t>本单位固定资产定期盘点，充分利用，并纳入公物仓统筹管理，得2分</w:t>
            </w:r>
          </w:p>
        </w:tc>
        <w:tc>
          <w:tcPr>
            <w:tcW w:w="1061"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ascii="宋体" w:hAnsi="宋体"/>
                <w:color w:val="000000"/>
                <w:sz w:val="18"/>
              </w:rPr>
            </w:pPr>
            <w:r>
              <w:rPr>
                <w:rFonts w:ascii="宋体" w:hAnsi="宋体"/>
                <w:color w:val="000000"/>
                <w:sz w:val="18"/>
              </w:rPr>
              <w:t>2</w:t>
            </w:r>
          </w:p>
        </w:tc>
        <w:tc>
          <w:tcPr>
            <w:tcW w:w="1061"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ascii="宋体" w:hAnsi="宋体"/>
                <w:color w:val="000000"/>
                <w:sz w:val="18"/>
              </w:rPr>
            </w:pPr>
            <w:r>
              <w:rPr>
                <w:rFonts w:ascii="宋体" w:hAnsi="宋体"/>
                <w:color w:val="000000"/>
                <w:sz w:val="18"/>
              </w:rPr>
              <w:t>2</w:t>
            </w:r>
          </w:p>
        </w:tc>
      </w:tr>
      <w:tr>
        <w:tblPrEx>
          <w:tblLayout w:type="fixed"/>
          <w:tblCellMar>
            <w:top w:w="0" w:type="dxa"/>
            <w:left w:w="15" w:type="dxa"/>
            <w:bottom w:w="0" w:type="dxa"/>
            <w:right w:w="15" w:type="dxa"/>
          </w:tblCellMar>
        </w:tblPrEx>
        <w:trPr>
          <w:trHeight w:val="450" w:hRule="atLeast"/>
        </w:trPr>
        <w:tc>
          <w:tcPr>
            <w:tcW w:w="1228" w:type="dxa"/>
            <w:vMerge w:val="continue"/>
            <w:tcBorders>
              <w:top w:val="single" w:color="000000" w:sz="4" w:space="0"/>
              <w:left w:val="single" w:color="000000" w:sz="4" w:space="0"/>
              <w:bottom w:val="single" w:color="000000" w:sz="4" w:space="0"/>
              <w:right w:val="single" w:color="000000" w:sz="4" w:space="0"/>
            </w:tcBorders>
            <w:vAlign w:val="center"/>
          </w:tcPr>
          <w:p>
            <w:pPr>
              <w:rPr>
                <w:rFonts w:ascii="宋体" w:hAnsi="宋体"/>
                <w:sz w:val="24"/>
              </w:rPr>
            </w:pPr>
          </w:p>
        </w:tc>
        <w:tc>
          <w:tcPr>
            <w:tcW w:w="3755" w:type="dxa"/>
            <w:gridSpan w:val="2"/>
            <w:vMerge w:val="restart"/>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ascii="宋体" w:hAnsi="宋体"/>
                <w:color w:val="000000"/>
                <w:sz w:val="18"/>
              </w:rPr>
            </w:pPr>
            <w:r>
              <w:rPr>
                <w:rFonts w:ascii="宋体" w:hAnsi="宋体"/>
                <w:color w:val="000000"/>
                <w:sz w:val="18"/>
              </w:rPr>
              <w:t>项目管理</w:t>
            </w:r>
          </w:p>
        </w:tc>
        <w:tc>
          <w:tcPr>
            <w:tcW w:w="2259"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ascii="宋体" w:hAnsi="宋体"/>
                <w:color w:val="000000"/>
                <w:sz w:val="18"/>
              </w:rPr>
            </w:pPr>
            <w:r>
              <w:rPr>
                <w:rFonts w:ascii="宋体" w:hAnsi="宋体"/>
                <w:color w:val="000000"/>
                <w:sz w:val="18"/>
              </w:rPr>
              <w:t>项目管理制度健全性</w:t>
            </w:r>
          </w:p>
        </w:tc>
        <w:tc>
          <w:tcPr>
            <w:tcW w:w="926"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ascii="宋体" w:hAnsi="宋体"/>
                <w:color w:val="000000"/>
                <w:sz w:val="18"/>
              </w:rPr>
            </w:pPr>
            <w:r>
              <w:rPr>
                <w:rFonts w:ascii="宋体" w:hAnsi="宋体"/>
                <w:color w:val="000000"/>
                <w:sz w:val="18"/>
              </w:rPr>
              <w:t>健全</w:t>
            </w:r>
          </w:p>
        </w:tc>
        <w:tc>
          <w:tcPr>
            <w:tcW w:w="3015"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ascii="宋体" w:hAnsi="宋体"/>
                <w:color w:val="000000"/>
                <w:sz w:val="18"/>
              </w:rPr>
            </w:pPr>
            <w:r>
              <w:rPr>
                <w:rFonts w:ascii="宋体" w:hAnsi="宋体"/>
                <w:color w:val="000000"/>
                <w:sz w:val="18"/>
              </w:rPr>
              <w:t>单位是否建立有健全完备的项目管理制度（3分）</w:t>
            </w:r>
          </w:p>
        </w:tc>
        <w:tc>
          <w:tcPr>
            <w:tcW w:w="2123"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ascii="宋体" w:hAnsi="宋体"/>
                <w:color w:val="000000"/>
                <w:sz w:val="18"/>
              </w:rPr>
            </w:pPr>
            <w:r>
              <w:rPr>
                <w:rFonts w:ascii="宋体" w:hAnsi="宋体"/>
                <w:color w:val="000000"/>
                <w:sz w:val="18"/>
              </w:rPr>
              <w:t>建立完善健全的项目管理制度，得3分</w:t>
            </w:r>
          </w:p>
        </w:tc>
        <w:tc>
          <w:tcPr>
            <w:tcW w:w="1061"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ascii="宋体" w:hAnsi="宋体"/>
                <w:color w:val="000000"/>
                <w:sz w:val="18"/>
              </w:rPr>
            </w:pPr>
            <w:r>
              <w:rPr>
                <w:rFonts w:ascii="宋体" w:hAnsi="宋体"/>
                <w:color w:val="000000"/>
                <w:sz w:val="18"/>
              </w:rPr>
              <w:t>3</w:t>
            </w:r>
          </w:p>
        </w:tc>
        <w:tc>
          <w:tcPr>
            <w:tcW w:w="1061"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ascii="宋体" w:hAnsi="宋体"/>
                <w:color w:val="000000"/>
                <w:sz w:val="18"/>
              </w:rPr>
            </w:pPr>
            <w:r>
              <w:rPr>
                <w:rFonts w:ascii="宋体" w:hAnsi="宋体"/>
                <w:color w:val="000000"/>
                <w:sz w:val="18"/>
              </w:rPr>
              <w:t>3</w:t>
            </w:r>
          </w:p>
        </w:tc>
      </w:tr>
      <w:tr>
        <w:tblPrEx>
          <w:tblLayout w:type="fixed"/>
          <w:tblCellMar>
            <w:top w:w="0" w:type="dxa"/>
            <w:left w:w="15" w:type="dxa"/>
            <w:bottom w:w="0" w:type="dxa"/>
            <w:right w:w="15" w:type="dxa"/>
          </w:tblCellMar>
        </w:tblPrEx>
        <w:trPr>
          <w:trHeight w:val="450" w:hRule="atLeast"/>
        </w:trPr>
        <w:tc>
          <w:tcPr>
            <w:tcW w:w="1228" w:type="dxa"/>
            <w:vMerge w:val="continue"/>
            <w:tcBorders>
              <w:top w:val="single" w:color="000000" w:sz="4" w:space="0"/>
              <w:left w:val="single" w:color="000000" w:sz="4" w:space="0"/>
              <w:bottom w:val="single" w:color="000000" w:sz="4" w:space="0"/>
              <w:right w:val="single" w:color="000000" w:sz="4" w:space="0"/>
            </w:tcBorders>
            <w:vAlign w:val="center"/>
          </w:tcPr>
          <w:p>
            <w:pPr>
              <w:rPr>
                <w:rFonts w:ascii="宋体" w:hAnsi="宋体"/>
                <w:sz w:val="24"/>
              </w:rPr>
            </w:pPr>
          </w:p>
        </w:tc>
        <w:tc>
          <w:tcPr>
            <w:tcW w:w="3755" w:type="dxa"/>
            <w:gridSpan w:val="2"/>
            <w:vMerge w:val="continue"/>
            <w:tcBorders>
              <w:top w:val="single" w:color="000000" w:sz="4" w:space="0"/>
              <w:left w:val="single" w:color="000000" w:sz="4" w:space="0"/>
              <w:bottom w:val="single" w:color="000000" w:sz="4" w:space="0"/>
              <w:right w:val="single" w:color="000000" w:sz="4" w:space="0"/>
            </w:tcBorders>
            <w:vAlign w:val="center"/>
          </w:tcPr>
          <w:p>
            <w:pPr>
              <w:autoSpaceDN w:val="0"/>
              <w:rPr>
                <w:rFonts w:ascii="宋体" w:hAnsi="宋体"/>
                <w:sz w:val="24"/>
              </w:rPr>
            </w:pPr>
          </w:p>
        </w:tc>
        <w:tc>
          <w:tcPr>
            <w:tcW w:w="2259"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ascii="宋体" w:hAnsi="宋体"/>
                <w:color w:val="000000"/>
                <w:sz w:val="18"/>
              </w:rPr>
            </w:pPr>
            <w:r>
              <w:rPr>
                <w:rFonts w:ascii="宋体" w:hAnsi="宋体"/>
                <w:color w:val="000000"/>
                <w:sz w:val="18"/>
              </w:rPr>
              <w:t>项目管理制度执行规范性</w:t>
            </w:r>
          </w:p>
        </w:tc>
        <w:tc>
          <w:tcPr>
            <w:tcW w:w="926"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ascii="宋体" w:hAnsi="宋体"/>
                <w:color w:val="000000"/>
                <w:sz w:val="18"/>
              </w:rPr>
            </w:pPr>
            <w:r>
              <w:rPr>
                <w:rFonts w:ascii="宋体" w:hAnsi="宋体"/>
                <w:color w:val="000000"/>
                <w:sz w:val="18"/>
              </w:rPr>
              <w:t>规范</w:t>
            </w:r>
          </w:p>
        </w:tc>
        <w:tc>
          <w:tcPr>
            <w:tcW w:w="3015"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ascii="宋体" w:hAnsi="宋体"/>
                <w:color w:val="000000"/>
                <w:sz w:val="18"/>
              </w:rPr>
            </w:pPr>
            <w:r>
              <w:rPr>
                <w:rFonts w:ascii="宋体" w:hAnsi="宋体"/>
                <w:color w:val="000000"/>
                <w:sz w:val="18"/>
              </w:rPr>
              <w:t>单位项目管理制度执行是否规范、有效（3分）</w:t>
            </w:r>
          </w:p>
        </w:tc>
        <w:tc>
          <w:tcPr>
            <w:tcW w:w="2123"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ascii="宋体" w:hAnsi="宋体"/>
                <w:color w:val="000000"/>
                <w:sz w:val="18"/>
              </w:rPr>
            </w:pPr>
            <w:r>
              <w:rPr>
                <w:rFonts w:ascii="宋体" w:hAnsi="宋体"/>
                <w:color w:val="000000"/>
                <w:sz w:val="18"/>
              </w:rPr>
              <w:t>单位项目管理制度执行规范、有效，得3分</w:t>
            </w:r>
          </w:p>
        </w:tc>
        <w:tc>
          <w:tcPr>
            <w:tcW w:w="1061"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ascii="宋体" w:hAnsi="宋体"/>
                <w:color w:val="000000"/>
                <w:sz w:val="18"/>
              </w:rPr>
            </w:pPr>
            <w:r>
              <w:rPr>
                <w:rFonts w:ascii="宋体" w:hAnsi="宋体"/>
                <w:color w:val="000000"/>
                <w:sz w:val="18"/>
              </w:rPr>
              <w:t>3</w:t>
            </w:r>
          </w:p>
        </w:tc>
        <w:tc>
          <w:tcPr>
            <w:tcW w:w="1061"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ascii="宋体" w:hAnsi="宋体"/>
                <w:color w:val="000000"/>
                <w:sz w:val="18"/>
              </w:rPr>
            </w:pPr>
            <w:r>
              <w:rPr>
                <w:rFonts w:ascii="宋体" w:hAnsi="宋体"/>
                <w:color w:val="000000"/>
                <w:sz w:val="18"/>
              </w:rPr>
              <w:t>3</w:t>
            </w:r>
          </w:p>
        </w:tc>
      </w:tr>
      <w:tr>
        <w:tblPrEx>
          <w:tblLayout w:type="fixed"/>
          <w:tblCellMar>
            <w:top w:w="0" w:type="dxa"/>
            <w:left w:w="15" w:type="dxa"/>
            <w:bottom w:w="0" w:type="dxa"/>
            <w:right w:w="15" w:type="dxa"/>
          </w:tblCellMar>
        </w:tblPrEx>
        <w:trPr>
          <w:trHeight w:val="450" w:hRule="atLeast"/>
        </w:trPr>
        <w:tc>
          <w:tcPr>
            <w:tcW w:w="1228" w:type="dxa"/>
            <w:vMerge w:val="continue"/>
            <w:tcBorders>
              <w:top w:val="single" w:color="000000" w:sz="4" w:space="0"/>
              <w:left w:val="single" w:color="000000" w:sz="4" w:space="0"/>
              <w:bottom w:val="single" w:color="000000" w:sz="4" w:space="0"/>
              <w:right w:val="single" w:color="000000" w:sz="4" w:space="0"/>
            </w:tcBorders>
            <w:vAlign w:val="center"/>
          </w:tcPr>
          <w:p>
            <w:pPr>
              <w:rPr>
                <w:rFonts w:ascii="宋体" w:hAnsi="宋体"/>
                <w:sz w:val="24"/>
              </w:rPr>
            </w:pPr>
          </w:p>
        </w:tc>
        <w:tc>
          <w:tcPr>
            <w:tcW w:w="3755" w:type="dxa"/>
            <w:gridSpan w:val="2"/>
            <w:vMerge w:val="restart"/>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ascii="宋体" w:hAnsi="宋体"/>
                <w:color w:val="000000"/>
                <w:sz w:val="18"/>
              </w:rPr>
            </w:pPr>
            <w:r>
              <w:rPr>
                <w:rFonts w:ascii="宋体" w:hAnsi="宋体"/>
                <w:color w:val="000000"/>
                <w:sz w:val="18"/>
              </w:rPr>
              <w:t>人员管理</w:t>
            </w:r>
          </w:p>
        </w:tc>
        <w:tc>
          <w:tcPr>
            <w:tcW w:w="2259"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ascii="宋体" w:hAnsi="宋体"/>
                <w:color w:val="000000"/>
                <w:sz w:val="18"/>
              </w:rPr>
            </w:pPr>
            <w:r>
              <w:rPr>
                <w:rFonts w:ascii="宋体" w:hAnsi="宋体"/>
                <w:color w:val="000000"/>
                <w:sz w:val="18"/>
              </w:rPr>
              <w:t>人员管理制度健全性</w:t>
            </w:r>
          </w:p>
        </w:tc>
        <w:tc>
          <w:tcPr>
            <w:tcW w:w="926"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ascii="宋体" w:hAnsi="宋体"/>
                <w:color w:val="000000"/>
                <w:sz w:val="18"/>
              </w:rPr>
            </w:pPr>
            <w:r>
              <w:rPr>
                <w:rFonts w:ascii="宋体" w:hAnsi="宋体"/>
                <w:color w:val="000000"/>
                <w:sz w:val="18"/>
              </w:rPr>
              <w:t>健全</w:t>
            </w:r>
          </w:p>
        </w:tc>
        <w:tc>
          <w:tcPr>
            <w:tcW w:w="3015"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ascii="宋体" w:hAnsi="宋体"/>
                <w:color w:val="000000"/>
                <w:sz w:val="18"/>
              </w:rPr>
            </w:pPr>
            <w:r>
              <w:rPr>
                <w:rFonts w:ascii="宋体" w:hAnsi="宋体"/>
                <w:color w:val="000000"/>
                <w:sz w:val="18"/>
              </w:rPr>
              <w:t>单位是否建立有健全完备的人事管理制度（2分）</w:t>
            </w:r>
          </w:p>
        </w:tc>
        <w:tc>
          <w:tcPr>
            <w:tcW w:w="2123"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ascii="宋体" w:hAnsi="宋体"/>
                <w:color w:val="000000"/>
                <w:sz w:val="18"/>
              </w:rPr>
            </w:pPr>
            <w:r>
              <w:rPr>
                <w:rFonts w:ascii="宋体" w:hAnsi="宋体"/>
                <w:color w:val="000000"/>
                <w:sz w:val="18"/>
              </w:rPr>
              <w:t>建立完善健全的人事管理制度，得2分</w:t>
            </w:r>
          </w:p>
        </w:tc>
        <w:tc>
          <w:tcPr>
            <w:tcW w:w="1061"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ascii="宋体" w:hAnsi="宋体"/>
                <w:color w:val="000000"/>
                <w:sz w:val="18"/>
              </w:rPr>
            </w:pPr>
            <w:r>
              <w:rPr>
                <w:rFonts w:ascii="宋体" w:hAnsi="宋体"/>
                <w:color w:val="000000"/>
                <w:sz w:val="18"/>
              </w:rPr>
              <w:t>2</w:t>
            </w:r>
          </w:p>
        </w:tc>
        <w:tc>
          <w:tcPr>
            <w:tcW w:w="1061"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ascii="宋体" w:hAnsi="宋体"/>
                <w:color w:val="000000"/>
                <w:sz w:val="18"/>
              </w:rPr>
            </w:pPr>
            <w:r>
              <w:rPr>
                <w:rFonts w:ascii="宋体" w:hAnsi="宋体"/>
                <w:color w:val="000000"/>
                <w:sz w:val="18"/>
              </w:rPr>
              <w:t>2</w:t>
            </w:r>
          </w:p>
        </w:tc>
      </w:tr>
      <w:tr>
        <w:tblPrEx>
          <w:tblLayout w:type="fixed"/>
          <w:tblCellMar>
            <w:top w:w="0" w:type="dxa"/>
            <w:left w:w="15" w:type="dxa"/>
            <w:bottom w:w="0" w:type="dxa"/>
            <w:right w:w="15" w:type="dxa"/>
          </w:tblCellMar>
        </w:tblPrEx>
        <w:trPr>
          <w:trHeight w:val="450" w:hRule="atLeast"/>
        </w:trPr>
        <w:tc>
          <w:tcPr>
            <w:tcW w:w="1228" w:type="dxa"/>
            <w:vMerge w:val="continue"/>
            <w:tcBorders>
              <w:top w:val="single" w:color="000000" w:sz="4" w:space="0"/>
              <w:left w:val="single" w:color="000000" w:sz="4" w:space="0"/>
              <w:bottom w:val="single" w:color="000000" w:sz="4" w:space="0"/>
              <w:right w:val="single" w:color="000000" w:sz="4" w:space="0"/>
            </w:tcBorders>
            <w:vAlign w:val="center"/>
          </w:tcPr>
          <w:p>
            <w:pPr>
              <w:rPr>
                <w:rFonts w:ascii="宋体" w:hAnsi="宋体"/>
                <w:sz w:val="24"/>
              </w:rPr>
            </w:pPr>
          </w:p>
        </w:tc>
        <w:tc>
          <w:tcPr>
            <w:tcW w:w="3755" w:type="dxa"/>
            <w:gridSpan w:val="2"/>
            <w:vMerge w:val="continue"/>
            <w:tcBorders>
              <w:top w:val="single" w:color="000000" w:sz="4" w:space="0"/>
              <w:left w:val="single" w:color="000000" w:sz="4" w:space="0"/>
              <w:bottom w:val="single" w:color="000000" w:sz="4" w:space="0"/>
              <w:right w:val="single" w:color="000000" w:sz="4" w:space="0"/>
            </w:tcBorders>
            <w:vAlign w:val="center"/>
          </w:tcPr>
          <w:p>
            <w:pPr>
              <w:autoSpaceDN w:val="0"/>
              <w:rPr>
                <w:rFonts w:ascii="宋体" w:hAnsi="宋体"/>
                <w:sz w:val="24"/>
              </w:rPr>
            </w:pPr>
          </w:p>
        </w:tc>
        <w:tc>
          <w:tcPr>
            <w:tcW w:w="2259"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ascii="宋体" w:hAnsi="宋体"/>
                <w:color w:val="000000"/>
                <w:sz w:val="18"/>
              </w:rPr>
            </w:pPr>
            <w:r>
              <w:rPr>
                <w:rFonts w:ascii="宋体" w:hAnsi="宋体"/>
                <w:color w:val="000000"/>
                <w:sz w:val="18"/>
              </w:rPr>
              <w:t>人员管理制度执行有效性</w:t>
            </w:r>
          </w:p>
        </w:tc>
        <w:tc>
          <w:tcPr>
            <w:tcW w:w="926"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ascii="宋体" w:hAnsi="宋体"/>
                <w:color w:val="000000"/>
                <w:sz w:val="18"/>
              </w:rPr>
            </w:pPr>
            <w:r>
              <w:rPr>
                <w:rFonts w:ascii="宋体" w:hAnsi="宋体"/>
                <w:color w:val="000000"/>
                <w:sz w:val="18"/>
              </w:rPr>
              <w:t>有效</w:t>
            </w:r>
          </w:p>
        </w:tc>
        <w:tc>
          <w:tcPr>
            <w:tcW w:w="3015"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ascii="宋体" w:hAnsi="宋体"/>
                <w:color w:val="000000"/>
                <w:sz w:val="18"/>
              </w:rPr>
            </w:pPr>
            <w:r>
              <w:rPr>
                <w:rFonts w:ascii="宋体" w:hAnsi="宋体"/>
                <w:color w:val="000000"/>
                <w:sz w:val="18"/>
              </w:rPr>
              <w:t>单位人员管理制度执行是否规范、有效（2分）</w:t>
            </w:r>
          </w:p>
        </w:tc>
        <w:tc>
          <w:tcPr>
            <w:tcW w:w="2123"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ascii="宋体" w:hAnsi="宋体"/>
                <w:color w:val="000000"/>
                <w:sz w:val="18"/>
              </w:rPr>
            </w:pPr>
            <w:r>
              <w:rPr>
                <w:rFonts w:ascii="宋体" w:hAnsi="宋体"/>
                <w:color w:val="000000"/>
                <w:sz w:val="18"/>
              </w:rPr>
              <w:t>单位人员管理制度执行规范、有效，得2分</w:t>
            </w:r>
          </w:p>
        </w:tc>
        <w:tc>
          <w:tcPr>
            <w:tcW w:w="1061"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ascii="宋体" w:hAnsi="宋体"/>
                <w:color w:val="000000"/>
                <w:sz w:val="18"/>
              </w:rPr>
            </w:pPr>
            <w:r>
              <w:rPr>
                <w:rFonts w:ascii="宋体" w:hAnsi="宋体"/>
                <w:color w:val="000000"/>
                <w:sz w:val="18"/>
              </w:rPr>
              <w:t>2</w:t>
            </w:r>
          </w:p>
        </w:tc>
        <w:tc>
          <w:tcPr>
            <w:tcW w:w="1061"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ascii="宋体" w:hAnsi="宋体"/>
                <w:color w:val="000000"/>
                <w:sz w:val="18"/>
              </w:rPr>
            </w:pPr>
            <w:r>
              <w:rPr>
                <w:rFonts w:ascii="宋体" w:hAnsi="宋体"/>
                <w:color w:val="000000"/>
                <w:sz w:val="18"/>
              </w:rPr>
              <w:t>2</w:t>
            </w:r>
          </w:p>
        </w:tc>
      </w:tr>
      <w:tr>
        <w:tblPrEx>
          <w:tblLayout w:type="fixed"/>
          <w:tblCellMar>
            <w:top w:w="0" w:type="dxa"/>
            <w:left w:w="15" w:type="dxa"/>
            <w:bottom w:w="0" w:type="dxa"/>
            <w:right w:w="15" w:type="dxa"/>
          </w:tblCellMar>
        </w:tblPrEx>
        <w:trPr>
          <w:trHeight w:val="450" w:hRule="atLeast"/>
        </w:trPr>
        <w:tc>
          <w:tcPr>
            <w:tcW w:w="1228" w:type="dxa"/>
            <w:vMerge w:val="continue"/>
            <w:tcBorders>
              <w:top w:val="single" w:color="000000" w:sz="4" w:space="0"/>
              <w:left w:val="single" w:color="000000" w:sz="4" w:space="0"/>
              <w:bottom w:val="single" w:color="000000" w:sz="4" w:space="0"/>
              <w:right w:val="single" w:color="000000" w:sz="4" w:space="0"/>
            </w:tcBorders>
            <w:vAlign w:val="center"/>
          </w:tcPr>
          <w:p>
            <w:pPr>
              <w:rPr>
                <w:rFonts w:ascii="宋体" w:hAnsi="宋体"/>
                <w:sz w:val="24"/>
              </w:rPr>
            </w:pPr>
          </w:p>
        </w:tc>
        <w:tc>
          <w:tcPr>
            <w:tcW w:w="3755" w:type="dxa"/>
            <w:gridSpan w:val="2"/>
            <w:vMerge w:val="continue"/>
            <w:tcBorders>
              <w:top w:val="single" w:color="000000" w:sz="4" w:space="0"/>
              <w:left w:val="single" w:color="000000" w:sz="4" w:space="0"/>
              <w:bottom w:val="single" w:color="000000" w:sz="4" w:space="0"/>
              <w:right w:val="single" w:color="000000" w:sz="4" w:space="0"/>
            </w:tcBorders>
            <w:vAlign w:val="center"/>
          </w:tcPr>
          <w:p>
            <w:pPr>
              <w:autoSpaceDN w:val="0"/>
              <w:rPr>
                <w:rFonts w:ascii="宋体" w:hAnsi="宋体"/>
                <w:sz w:val="24"/>
              </w:rPr>
            </w:pPr>
          </w:p>
        </w:tc>
        <w:tc>
          <w:tcPr>
            <w:tcW w:w="2259"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ascii="宋体" w:hAnsi="宋体"/>
                <w:color w:val="000000"/>
                <w:sz w:val="18"/>
              </w:rPr>
            </w:pPr>
            <w:r>
              <w:rPr>
                <w:rFonts w:ascii="宋体" w:hAnsi="宋体"/>
                <w:color w:val="000000"/>
                <w:sz w:val="18"/>
              </w:rPr>
              <w:t>在职人员控制率</w:t>
            </w:r>
          </w:p>
        </w:tc>
        <w:tc>
          <w:tcPr>
            <w:tcW w:w="926"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ascii="宋体" w:hAnsi="宋体"/>
                <w:color w:val="000000"/>
                <w:sz w:val="18"/>
              </w:rPr>
            </w:pPr>
            <w:r>
              <w:rPr>
                <w:rFonts w:ascii="宋体" w:hAnsi="宋体"/>
                <w:color w:val="000000"/>
                <w:sz w:val="18"/>
              </w:rPr>
              <w:t>＝100%</w:t>
            </w:r>
          </w:p>
        </w:tc>
        <w:tc>
          <w:tcPr>
            <w:tcW w:w="3015"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ascii="宋体" w:hAnsi="宋体"/>
                <w:color w:val="000000"/>
                <w:sz w:val="18"/>
              </w:rPr>
            </w:pPr>
            <w:r>
              <w:rPr>
                <w:rFonts w:ascii="宋体" w:hAnsi="宋体"/>
                <w:color w:val="000000"/>
                <w:sz w:val="18"/>
              </w:rPr>
              <w:t>单位在职人数与核编人数是否匹配（2分）</w:t>
            </w:r>
          </w:p>
        </w:tc>
        <w:tc>
          <w:tcPr>
            <w:tcW w:w="2123"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ascii="宋体" w:hAnsi="宋体"/>
                <w:color w:val="000000"/>
                <w:sz w:val="18"/>
              </w:rPr>
            </w:pPr>
            <w:r>
              <w:rPr>
                <w:rFonts w:ascii="宋体" w:hAnsi="宋体"/>
                <w:color w:val="000000"/>
                <w:sz w:val="18"/>
              </w:rPr>
              <w:t>单位在职人数与核编人数匹配，得2分</w:t>
            </w:r>
          </w:p>
        </w:tc>
        <w:tc>
          <w:tcPr>
            <w:tcW w:w="1061"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ascii="宋体" w:hAnsi="宋体"/>
                <w:color w:val="000000"/>
                <w:sz w:val="18"/>
              </w:rPr>
            </w:pPr>
            <w:r>
              <w:rPr>
                <w:rFonts w:ascii="宋体" w:hAnsi="宋体"/>
                <w:color w:val="000000"/>
                <w:sz w:val="18"/>
              </w:rPr>
              <w:t>2</w:t>
            </w:r>
          </w:p>
        </w:tc>
        <w:tc>
          <w:tcPr>
            <w:tcW w:w="1061"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ascii="宋体" w:hAnsi="宋体"/>
                <w:color w:val="000000"/>
                <w:sz w:val="18"/>
              </w:rPr>
            </w:pPr>
            <w:r>
              <w:rPr>
                <w:rFonts w:ascii="宋体" w:hAnsi="宋体"/>
                <w:color w:val="000000"/>
                <w:sz w:val="18"/>
              </w:rPr>
              <w:t>2</w:t>
            </w:r>
          </w:p>
        </w:tc>
      </w:tr>
      <w:tr>
        <w:tblPrEx>
          <w:tblLayout w:type="fixed"/>
          <w:tblCellMar>
            <w:top w:w="0" w:type="dxa"/>
            <w:left w:w="15" w:type="dxa"/>
            <w:bottom w:w="0" w:type="dxa"/>
            <w:right w:w="15" w:type="dxa"/>
          </w:tblCellMar>
        </w:tblPrEx>
        <w:trPr>
          <w:trHeight w:val="450" w:hRule="atLeast"/>
        </w:trPr>
        <w:tc>
          <w:tcPr>
            <w:tcW w:w="1228" w:type="dxa"/>
            <w:vMerge w:val="continue"/>
            <w:tcBorders>
              <w:top w:val="single" w:color="000000" w:sz="4" w:space="0"/>
              <w:left w:val="single" w:color="000000" w:sz="4" w:space="0"/>
              <w:bottom w:val="single" w:color="000000" w:sz="4" w:space="0"/>
              <w:right w:val="single" w:color="000000" w:sz="4" w:space="0"/>
            </w:tcBorders>
            <w:vAlign w:val="center"/>
          </w:tcPr>
          <w:p>
            <w:pPr>
              <w:rPr>
                <w:rFonts w:ascii="宋体" w:hAnsi="宋体"/>
                <w:sz w:val="24"/>
              </w:rPr>
            </w:pPr>
          </w:p>
        </w:tc>
        <w:tc>
          <w:tcPr>
            <w:tcW w:w="3755" w:type="dxa"/>
            <w:gridSpan w:val="2"/>
            <w:vMerge w:val="restart"/>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ascii="宋体" w:hAnsi="宋体"/>
                <w:color w:val="000000"/>
                <w:sz w:val="18"/>
              </w:rPr>
            </w:pPr>
            <w:r>
              <w:rPr>
                <w:rFonts w:ascii="宋体" w:hAnsi="宋体"/>
                <w:color w:val="000000"/>
                <w:sz w:val="18"/>
              </w:rPr>
              <w:t>机构建设</w:t>
            </w:r>
          </w:p>
        </w:tc>
        <w:tc>
          <w:tcPr>
            <w:tcW w:w="2259"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ascii="宋体" w:hAnsi="宋体"/>
                <w:color w:val="000000"/>
                <w:sz w:val="18"/>
              </w:rPr>
            </w:pPr>
            <w:r>
              <w:rPr>
                <w:rFonts w:ascii="宋体" w:hAnsi="宋体"/>
                <w:color w:val="000000"/>
                <w:sz w:val="18"/>
              </w:rPr>
              <w:t>组织建设工作及时完成率</w:t>
            </w:r>
          </w:p>
        </w:tc>
        <w:tc>
          <w:tcPr>
            <w:tcW w:w="926"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ascii="宋体" w:hAnsi="宋体"/>
                <w:color w:val="000000"/>
                <w:sz w:val="18"/>
              </w:rPr>
            </w:pPr>
            <w:r>
              <w:rPr>
                <w:rFonts w:ascii="宋体" w:hAnsi="宋体"/>
                <w:color w:val="000000"/>
                <w:sz w:val="18"/>
              </w:rPr>
              <w:t>＝100%</w:t>
            </w:r>
          </w:p>
        </w:tc>
        <w:tc>
          <w:tcPr>
            <w:tcW w:w="3015"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ascii="宋体" w:hAnsi="宋体"/>
                <w:color w:val="000000"/>
                <w:sz w:val="18"/>
              </w:rPr>
            </w:pPr>
            <w:r>
              <w:rPr>
                <w:rFonts w:ascii="宋体" w:hAnsi="宋体"/>
                <w:color w:val="000000"/>
                <w:sz w:val="18"/>
              </w:rPr>
              <w:t>组织建设工作是否及时完成（2分）</w:t>
            </w:r>
          </w:p>
        </w:tc>
        <w:tc>
          <w:tcPr>
            <w:tcW w:w="2123"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ascii="宋体" w:hAnsi="宋体"/>
                <w:color w:val="000000"/>
                <w:sz w:val="18"/>
              </w:rPr>
            </w:pPr>
            <w:r>
              <w:rPr>
                <w:rFonts w:ascii="宋体" w:hAnsi="宋体"/>
                <w:color w:val="000000"/>
                <w:sz w:val="18"/>
              </w:rPr>
              <w:t>组织建设工作能够及时完成，得2分</w:t>
            </w:r>
          </w:p>
        </w:tc>
        <w:tc>
          <w:tcPr>
            <w:tcW w:w="1061"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ascii="宋体" w:hAnsi="宋体"/>
                <w:color w:val="000000"/>
                <w:sz w:val="18"/>
              </w:rPr>
            </w:pPr>
            <w:r>
              <w:rPr>
                <w:rFonts w:ascii="宋体" w:hAnsi="宋体"/>
                <w:color w:val="000000"/>
                <w:sz w:val="18"/>
              </w:rPr>
              <w:t>2</w:t>
            </w:r>
          </w:p>
        </w:tc>
        <w:tc>
          <w:tcPr>
            <w:tcW w:w="1061"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ascii="宋体" w:hAnsi="宋体"/>
                <w:color w:val="000000"/>
                <w:sz w:val="18"/>
              </w:rPr>
            </w:pPr>
            <w:r>
              <w:rPr>
                <w:rFonts w:ascii="宋体" w:hAnsi="宋体"/>
                <w:color w:val="000000"/>
                <w:sz w:val="18"/>
              </w:rPr>
              <w:t>2</w:t>
            </w:r>
          </w:p>
        </w:tc>
      </w:tr>
      <w:tr>
        <w:tblPrEx>
          <w:tblLayout w:type="fixed"/>
          <w:tblCellMar>
            <w:top w:w="0" w:type="dxa"/>
            <w:left w:w="15" w:type="dxa"/>
            <w:bottom w:w="0" w:type="dxa"/>
            <w:right w:w="15" w:type="dxa"/>
          </w:tblCellMar>
        </w:tblPrEx>
        <w:trPr>
          <w:trHeight w:val="450" w:hRule="atLeast"/>
        </w:trPr>
        <w:tc>
          <w:tcPr>
            <w:tcW w:w="1228" w:type="dxa"/>
            <w:vMerge w:val="continue"/>
            <w:tcBorders>
              <w:top w:val="single" w:color="000000" w:sz="4" w:space="0"/>
              <w:left w:val="single" w:color="000000" w:sz="4" w:space="0"/>
              <w:bottom w:val="single" w:color="000000" w:sz="4" w:space="0"/>
              <w:right w:val="single" w:color="000000" w:sz="4" w:space="0"/>
            </w:tcBorders>
            <w:vAlign w:val="center"/>
          </w:tcPr>
          <w:p>
            <w:pPr>
              <w:rPr>
                <w:rFonts w:ascii="宋体" w:hAnsi="宋体"/>
                <w:sz w:val="24"/>
              </w:rPr>
            </w:pPr>
          </w:p>
        </w:tc>
        <w:tc>
          <w:tcPr>
            <w:tcW w:w="3755" w:type="dxa"/>
            <w:gridSpan w:val="2"/>
            <w:vMerge w:val="continue"/>
            <w:tcBorders>
              <w:top w:val="single" w:color="000000" w:sz="4" w:space="0"/>
              <w:left w:val="single" w:color="000000" w:sz="4" w:space="0"/>
              <w:bottom w:val="single" w:color="000000" w:sz="4" w:space="0"/>
              <w:right w:val="single" w:color="000000" w:sz="4" w:space="0"/>
            </w:tcBorders>
            <w:vAlign w:val="center"/>
          </w:tcPr>
          <w:p>
            <w:pPr>
              <w:autoSpaceDN w:val="0"/>
              <w:rPr>
                <w:rFonts w:ascii="宋体" w:hAnsi="宋体"/>
                <w:sz w:val="24"/>
              </w:rPr>
            </w:pPr>
          </w:p>
        </w:tc>
        <w:tc>
          <w:tcPr>
            <w:tcW w:w="2259"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ascii="宋体" w:hAnsi="宋体"/>
                <w:color w:val="000000"/>
                <w:sz w:val="18"/>
              </w:rPr>
            </w:pPr>
            <w:r>
              <w:rPr>
                <w:rFonts w:ascii="宋体" w:hAnsi="宋体"/>
                <w:color w:val="000000"/>
                <w:sz w:val="18"/>
              </w:rPr>
              <w:t>业务学习与培训及时完成率</w:t>
            </w:r>
          </w:p>
        </w:tc>
        <w:tc>
          <w:tcPr>
            <w:tcW w:w="926"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ascii="宋体" w:hAnsi="宋体"/>
                <w:color w:val="000000"/>
                <w:sz w:val="18"/>
              </w:rPr>
            </w:pPr>
            <w:r>
              <w:rPr>
                <w:rFonts w:ascii="宋体" w:hAnsi="宋体"/>
                <w:color w:val="000000"/>
                <w:sz w:val="18"/>
              </w:rPr>
              <w:t>＝100%</w:t>
            </w:r>
          </w:p>
        </w:tc>
        <w:tc>
          <w:tcPr>
            <w:tcW w:w="3015"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ascii="宋体" w:hAnsi="宋体"/>
                <w:color w:val="000000"/>
                <w:sz w:val="18"/>
              </w:rPr>
            </w:pPr>
            <w:r>
              <w:rPr>
                <w:rFonts w:ascii="宋体" w:hAnsi="宋体"/>
                <w:color w:val="000000"/>
                <w:sz w:val="18"/>
              </w:rPr>
              <w:t>业务学习与培训是否及时完成（2分）</w:t>
            </w:r>
          </w:p>
        </w:tc>
        <w:tc>
          <w:tcPr>
            <w:tcW w:w="2123"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ascii="宋体" w:hAnsi="宋体"/>
                <w:color w:val="000000"/>
                <w:sz w:val="18"/>
              </w:rPr>
            </w:pPr>
            <w:r>
              <w:rPr>
                <w:rFonts w:ascii="宋体" w:hAnsi="宋体"/>
                <w:color w:val="000000"/>
                <w:sz w:val="18"/>
              </w:rPr>
              <w:t>业务学习与培训及时完成率，得2分</w:t>
            </w:r>
          </w:p>
        </w:tc>
        <w:tc>
          <w:tcPr>
            <w:tcW w:w="1061"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ascii="宋体" w:hAnsi="宋体"/>
                <w:color w:val="000000"/>
                <w:sz w:val="18"/>
              </w:rPr>
            </w:pPr>
            <w:r>
              <w:rPr>
                <w:rFonts w:ascii="宋体" w:hAnsi="宋体"/>
                <w:color w:val="000000"/>
                <w:sz w:val="18"/>
              </w:rPr>
              <w:t>2</w:t>
            </w:r>
          </w:p>
        </w:tc>
        <w:tc>
          <w:tcPr>
            <w:tcW w:w="1061"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ascii="宋体" w:hAnsi="宋体"/>
                <w:color w:val="000000"/>
                <w:sz w:val="18"/>
              </w:rPr>
            </w:pPr>
            <w:r>
              <w:rPr>
                <w:rFonts w:ascii="宋体" w:hAnsi="宋体"/>
                <w:color w:val="000000"/>
                <w:sz w:val="18"/>
              </w:rPr>
              <w:t>2</w:t>
            </w:r>
          </w:p>
        </w:tc>
      </w:tr>
      <w:tr>
        <w:tblPrEx>
          <w:tblLayout w:type="fixed"/>
          <w:tblCellMar>
            <w:top w:w="0" w:type="dxa"/>
            <w:left w:w="15" w:type="dxa"/>
            <w:bottom w:w="0" w:type="dxa"/>
            <w:right w:w="15" w:type="dxa"/>
          </w:tblCellMar>
        </w:tblPrEx>
        <w:trPr>
          <w:trHeight w:val="450" w:hRule="atLeast"/>
        </w:trPr>
        <w:tc>
          <w:tcPr>
            <w:tcW w:w="1228" w:type="dxa"/>
            <w:vMerge w:val="continue"/>
            <w:tcBorders>
              <w:top w:val="single" w:color="000000" w:sz="4" w:space="0"/>
              <w:left w:val="single" w:color="000000" w:sz="4" w:space="0"/>
              <w:bottom w:val="single" w:color="000000" w:sz="4" w:space="0"/>
              <w:right w:val="single" w:color="000000" w:sz="4" w:space="0"/>
            </w:tcBorders>
            <w:vAlign w:val="center"/>
          </w:tcPr>
          <w:p>
            <w:pPr>
              <w:rPr>
                <w:rFonts w:ascii="宋体" w:hAnsi="宋体"/>
                <w:sz w:val="24"/>
              </w:rPr>
            </w:pPr>
          </w:p>
        </w:tc>
        <w:tc>
          <w:tcPr>
            <w:tcW w:w="3755" w:type="dxa"/>
            <w:gridSpan w:val="2"/>
            <w:vMerge w:val="continue"/>
            <w:tcBorders>
              <w:top w:val="single" w:color="000000" w:sz="4" w:space="0"/>
              <w:left w:val="single" w:color="000000" w:sz="4" w:space="0"/>
              <w:bottom w:val="single" w:color="000000" w:sz="4" w:space="0"/>
              <w:right w:val="single" w:color="000000" w:sz="4" w:space="0"/>
            </w:tcBorders>
            <w:vAlign w:val="center"/>
          </w:tcPr>
          <w:p>
            <w:pPr>
              <w:autoSpaceDN w:val="0"/>
              <w:rPr>
                <w:rFonts w:ascii="宋体" w:hAnsi="宋体"/>
                <w:sz w:val="24"/>
              </w:rPr>
            </w:pPr>
          </w:p>
        </w:tc>
        <w:tc>
          <w:tcPr>
            <w:tcW w:w="2259"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ascii="宋体" w:hAnsi="宋体"/>
                <w:color w:val="000000"/>
                <w:sz w:val="18"/>
              </w:rPr>
            </w:pPr>
            <w:r>
              <w:rPr>
                <w:rFonts w:ascii="宋体" w:hAnsi="宋体"/>
                <w:color w:val="000000"/>
                <w:sz w:val="18"/>
              </w:rPr>
              <w:t>纪检监察工作有效性</w:t>
            </w:r>
          </w:p>
        </w:tc>
        <w:tc>
          <w:tcPr>
            <w:tcW w:w="926"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ascii="宋体" w:hAnsi="宋体"/>
                <w:color w:val="000000"/>
                <w:sz w:val="18"/>
              </w:rPr>
            </w:pPr>
            <w:r>
              <w:rPr>
                <w:rFonts w:ascii="宋体" w:hAnsi="宋体"/>
                <w:color w:val="000000"/>
                <w:sz w:val="18"/>
              </w:rPr>
              <w:t>有效</w:t>
            </w:r>
          </w:p>
        </w:tc>
        <w:tc>
          <w:tcPr>
            <w:tcW w:w="3015"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ascii="宋体" w:hAnsi="宋体"/>
                <w:color w:val="000000"/>
                <w:sz w:val="18"/>
              </w:rPr>
            </w:pPr>
            <w:r>
              <w:rPr>
                <w:rFonts w:ascii="宋体" w:hAnsi="宋体"/>
                <w:color w:val="000000"/>
                <w:sz w:val="18"/>
              </w:rPr>
              <w:t>本单位纪检监察工作是否有效（2分）</w:t>
            </w:r>
          </w:p>
        </w:tc>
        <w:tc>
          <w:tcPr>
            <w:tcW w:w="2123"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ascii="宋体" w:hAnsi="宋体"/>
                <w:color w:val="000000"/>
                <w:sz w:val="18"/>
              </w:rPr>
            </w:pPr>
            <w:r>
              <w:rPr>
                <w:rFonts w:ascii="宋体" w:hAnsi="宋体"/>
                <w:color w:val="000000"/>
                <w:sz w:val="18"/>
              </w:rPr>
              <w:t>本单位纪检监察工作高效有序进行，得2分</w:t>
            </w:r>
          </w:p>
        </w:tc>
        <w:tc>
          <w:tcPr>
            <w:tcW w:w="1061"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ascii="宋体" w:hAnsi="宋体"/>
                <w:color w:val="000000"/>
                <w:sz w:val="18"/>
              </w:rPr>
            </w:pPr>
            <w:r>
              <w:rPr>
                <w:rFonts w:ascii="宋体" w:hAnsi="宋体"/>
                <w:color w:val="000000"/>
                <w:sz w:val="18"/>
              </w:rPr>
              <w:t>2</w:t>
            </w:r>
          </w:p>
        </w:tc>
        <w:tc>
          <w:tcPr>
            <w:tcW w:w="1061"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ascii="宋体" w:hAnsi="宋体"/>
                <w:color w:val="000000"/>
                <w:sz w:val="18"/>
              </w:rPr>
            </w:pPr>
            <w:r>
              <w:rPr>
                <w:rFonts w:ascii="宋体" w:hAnsi="宋体"/>
                <w:color w:val="000000"/>
                <w:sz w:val="18"/>
              </w:rPr>
              <w:t>2</w:t>
            </w:r>
          </w:p>
        </w:tc>
      </w:tr>
      <w:tr>
        <w:tblPrEx>
          <w:tblLayout w:type="fixed"/>
          <w:tblCellMar>
            <w:top w:w="0" w:type="dxa"/>
            <w:left w:w="15" w:type="dxa"/>
            <w:bottom w:w="0" w:type="dxa"/>
            <w:right w:w="15" w:type="dxa"/>
          </w:tblCellMar>
        </w:tblPrEx>
        <w:trPr>
          <w:trHeight w:val="675" w:hRule="atLeast"/>
        </w:trPr>
        <w:tc>
          <w:tcPr>
            <w:tcW w:w="1228" w:type="dxa"/>
            <w:vMerge w:val="restart"/>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ascii="宋体" w:hAnsi="宋体"/>
                <w:color w:val="000000"/>
                <w:sz w:val="18"/>
              </w:rPr>
            </w:pPr>
            <w:r>
              <w:rPr>
                <w:rFonts w:ascii="宋体" w:hAnsi="宋体"/>
                <w:color w:val="000000"/>
                <w:sz w:val="18"/>
              </w:rPr>
              <w:t>履职</w:t>
            </w:r>
          </w:p>
        </w:tc>
        <w:tc>
          <w:tcPr>
            <w:tcW w:w="3755" w:type="dxa"/>
            <w:gridSpan w:val="2"/>
            <w:vMerge w:val="restart"/>
            <w:tcBorders>
              <w:top w:val="single" w:color="000000" w:sz="4" w:space="0"/>
              <w:left w:val="single" w:color="000000" w:sz="4" w:space="0"/>
              <w:right w:val="single" w:color="000000" w:sz="4" w:space="0"/>
            </w:tcBorders>
            <w:vAlign w:val="center"/>
          </w:tcPr>
          <w:p>
            <w:pPr>
              <w:jc w:val="center"/>
              <w:rPr>
                <w:rFonts w:ascii="宋体" w:hAnsi="宋体" w:cs="宋体"/>
                <w:color w:val="000000"/>
                <w:sz w:val="18"/>
                <w:szCs w:val="18"/>
              </w:rPr>
            </w:pPr>
            <w:r>
              <w:rPr>
                <w:rFonts w:hint="eastAsia"/>
                <w:color w:val="000000"/>
                <w:sz w:val="18"/>
                <w:szCs w:val="18"/>
              </w:rPr>
              <w:t>(一)贯彻执行党和国家有关公安工作的方针、政策和法律、法规；统一领导、指挥全区公安工作。 (二)掌握影响稳定、危害国内安全和社会治安的情况，向区委、区政府和市公安局及时提供相关重要信息，分析、研究对策并组织实施。 (三)负责公安民警队伍的管理、教育和训练工作。 (四)受理公民报警求助；依法预防、制止和侦查违法犯罪活动；处置重大案件、治安事故和骚乱，防范、打击恐怖活动。 (五)依法查处危害社会治安秩序行为；积极预防、妥善处置突发性事件、群体性事件，维护社会稳定；依法管理集会、游行、示威活动；依法管理户籍、居民身份证、枪支弹药、危险物品和特种行业等工作。 (六)负责由公安机关依法承担的执行刑罚工作；负责区看守所的建设和管理。 (七)负责全区道路交通安全管理，维护交通秩序，承担车辆、驾驶员交通安全管理工作。 (八)依法管理出境入境事务和外国人在我区居留、旅行有关事务。 (九)负责全区公共信息网络安全监察工作。 (十)负责来我区党和国家领导人、重要外宾的安全警卫工作及其他重要警卫任务的组织协调。 (十一)组织实施全区公安科学技术工作；制订公安信息技术、刑事技术、行动技术等建设规划并组织实施。 (十二)指导、监督全区国家机关、社会团体、企事业单位和重点建设工程的治安保卫工作以及群众性治安保卫组织的治安防范工作。 (十三)组织开展公安警务督察工作；指导、检查、监督全区公安机关及人民警察的执法活动。 (十四)负责全区公安机关装备、被装配备和专项经费管理等警务保障工作。 (十五)承办区委、区政府和上级公安机关交办的其他事项。</w:t>
            </w:r>
          </w:p>
          <w:p>
            <w:pPr>
              <w:jc w:val="center"/>
              <w:rPr>
                <w:rFonts w:ascii="宋体" w:hAnsi="宋体"/>
                <w:color w:val="000000"/>
                <w:sz w:val="18"/>
              </w:rPr>
            </w:pPr>
          </w:p>
        </w:tc>
        <w:tc>
          <w:tcPr>
            <w:tcW w:w="2259" w:type="dxa"/>
            <w:vMerge w:val="restart"/>
            <w:tcBorders>
              <w:top w:val="single" w:color="000000" w:sz="4" w:space="0"/>
              <w:left w:val="single" w:color="000000" w:sz="4" w:space="0"/>
              <w:right w:val="single" w:color="000000" w:sz="4" w:space="0"/>
            </w:tcBorders>
            <w:vAlign w:val="center"/>
          </w:tcPr>
          <w:p>
            <w:pPr>
              <w:jc w:val="center"/>
              <w:rPr>
                <w:rFonts w:ascii="宋体" w:hAnsi="宋体" w:cs="宋体"/>
                <w:color w:val="000000"/>
                <w:sz w:val="18"/>
                <w:szCs w:val="18"/>
              </w:rPr>
            </w:pPr>
            <w:r>
              <w:rPr>
                <w:rFonts w:hint="eastAsia"/>
                <w:color w:val="000000"/>
                <w:sz w:val="18"/>
                <w:szCs w:val="18"/>
              </w:rPr>
              <w:t>维护社会稳定，打击违法犯罪</w:t>
            </w:r>
          </w:p>
          <w:p>
            <w:pPr>
              <w:autoSpaceDN w:val="0"/>
              <w:jc w:val="center"/>
              <w:textAlignment w:val="center"/>
              <w:rPr>
                <w:rFonts w:ascii="宋体" w:hAnsi="宋体"/>
                <w:color w:val="000000"/>
                <w:sz w:val="18"/>
              </w:rPr>
            </w:pPr>
          </w:p>
        </w:tc>
        <w:tc>
          <w:tcPr>
            <w:tcW w:w="926" w:type="dxa"/>
            <w:vMerge w:val="restart"/>
            <w:tcBorders>
              <w:top w:val="single" w:color="000000" w:sz="4" w:space="0"/>
              <w:left w:val="single" w:color="000000" w:sz="4" w:space="0"/>
              <w:right w:val="single" w:color="000000" w:sz="4" w:space="0"/>
            </w:tcBorders>
            <w:vAlign w:val="center"/>
          </w:tcPr>
          <w:p>
            <w:pPr>
              <w:autoSpaceDN w:val="0"/>
              <w:jc w:val="center"/>
              <w:textAlignment w:val="center"/>
              <w:rPr>
                <w:rFonts w:ascii="宋体" w:hAnsi="宋体"/>
                <w:color w:val="000000"/>
                <w:sz w:val="18"/>
              </w:rPr>
            </w:pPr>
            <w:r>
              <w:rPr>
                <w:rFonts w:hint="eastAsia" w:ascii="宋体" w:hAnsi="宋体"/>
                <w:color w:val="000000"/>
                <w:sz w:val="18"/>
              </w:rPr>
              <w:t>安全</w:t>
            </w:r>
          </w:p>
        </w:tc>
        <w:tc>
          <w:tcPr>
            <w:tcW w:w="3015"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ascii="宋体" w:hAnsi="宋体"/>
                <w:color w:val="000000"/>
                <w:sz w:val="18"/>
              </w:rPr>
            </w:pPr>
            <w:r>
              <w:rPr>
                <w:rFonts w:ascii="宋体" w:hAnsi="宋体"/>
                <w:color w:val="000000"/>
                <w:sz w:val="18"/>
              </w:rPr>
              <w:t>通过电话回访等渠道测评人民群众对公安窗口服务的满意程度（3分）</w:t>
            </w:r>
          </w:p>
        </w:tc>
        <w:tc>
          <w:tcPr>
            <w:tcW w:w="2123"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ascii="宋体" w:hAnsi="宋体"/>
                <w:color w:val="000000"/>
                <w:sz w:val="18"/>
              </w:rPr>
            </w:pPr>
            <w:r>
              <w:rPr>
                <w:rFonts w:ascii="宋体" w:hAnsi="宋体"/>
                <w:color w:val="000000"/>
                <w:sz w:val="18"/>
              </w:rPr>
              <w:t>实际窗口满意度达到目标值，得3分</w:t>
            </w:r>
          </w:p>
        </w:tc>
        <w:tc>
          <w:tcPr>
            <w:tcW w:w="1061"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ascii="宋体" w:hAnsi="宋体"/>
                <w:color w:val="000000"/>
                <w:sz w:val="18"/>
              </w:rPr>
            </w:pPr>
            <w:r>
              <w:rPr>
                <w:rFonts w:ascii="宋体" w:hAnsi="宋体"/>
                <w:color w:val="000000"/>
                <w:sz w:val="18"/>
              </w:rPr>
              <w:t>3</w:t>
            </w:r>
          </w:p>
        </w:tc>
        <w:tc>
          <w:tcPr>
            <w:tcW w:w="1061"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ascii="宋体" w:hAnsi="宋体"/>
                <w:color w:val="000000"/>
                <w:sz w:val="18"/>
              </w:rPr>
            </w:pPr>
            <w:r>
              <w:rPr>
                <w:rFonts w:ascii="宋体" w:hAnsi="宋体"/>
                <w:color w:val="000000"/>
                <w:sz w:val="18"/>
              </w:rPr>
              <w:t>3</w:t>
            </w:r>
          </w:p>
        </w:tc>
      </w:tr>
      <w:tr>
        <w:tblPrEx>
          <w:tblLayout w:type="fixed"/>
          <w:tblCellMar>
            <w:top w:w="0" w:type="dxa"/>
            <w:left w:w="15" w:type="dxa"/>
            <w:bottom w:w="0" w:type="dxa"/>
            <w:right w:w="15" w:type="dxa"/>
          </w:tblCellMar>
        </w:tblPrEx>
        <w:trPr>
          <w:trHeight w:val="450" w:hRule="atLeast"/>
        </w:trPr>
        <w:tc>
          <w:tcPr>
            <w:tcW w:w="1228" w:type="dxa"/>
            <w:vMerge w:val="continue"/>
            <w:tcBorders>
              <w:top w:val="single" w:color="000000" w:sz="4" w:space="0"/>
              <w:left w:val="single" w:color="000000" w:sz="4" w:space="0"/>
              <w:bottom w:val="single" w:color="000000" w:sz="4" w:space="0"/>
              <w:right w:val="single" w:color="000000" w:sz="4" w:space="0"/>
            </w:tcBorders>
            <w:vAlign w:val="center"/>
          </w:tcPr>
          <w:p>
            <w:pPr>
              <w:rPr>
                <w:rFonts w:ascii="宋体" w:hAnsi="宋体"/>
                <w:sz w:val="24"/>
              </w:rPr>
            </w:pPr>
          </w:p>
        </w:tc>
        <w:tc>
          <w:tcPr>
            <w:tcW w:w="3755" w:type="dxa"/>
            <w:gridSpan w:val="2"/>
            <w:vMerge w:val="continue"/>
            <w:tcBorders>
              <w:left w:val="single" w:color="000000" w:sz="4" w:space="0"/>
              <w:right w:val="single" w:color="000000" w:sz="4" w:space="0"/>
            </w:tcBorders>
            <w:vAlign w:val="center"/>
          </w:tcPr>
          <w:p>
            <w:pPr>
              <w:autoSpaceDN w:val="0"/>
              <w:jc w:val="center"/>
              <w:textAlignment w:val="center"/>
              <w:rPr>
                <w:rFonts w:ascii="宋体" w:hAnsi="宋体"/>
                <w:color w:val="000000"/>
                <w:sz w:val="18"/>
              </w:rPr>
            </w:pPr>
          </w:p>
        </w:tc>
        <w:tc>
          <w:tcPr>
            <w:tcW w:w="2259" w:type="dxa"/>
            <w:vMerge w:val="continue"/>
            <w:tcBorders>
              <w:left w:val="single" w:color="000000" w:sz="4" w:space="0"/>
              <w:right w:val="single" w:color="000000" w:sz="4" w:space="0"/>
            </w:tcBorders>
            <w:vAlign w:val="center"/>
          </w:tcPr>
          <w:p>
            <w:pPr>
              <w:autoSpaceDN w:val="0"/>
              <w:jc w:val="center"/>
              <w:textAlignment w:val="center"/>
              <w:rPr>
                <w:rFonts w:ascii="宋体" w:hAnsi="宋体"/>
                <w:color w:val="000000"/>
                <w:sz w:val="18"/>
              </w:rPr>
            </w:pPr>
          </w:p>
        </w:tc>
        <w:tc>
          <w:tcPr>
            <w:tcW w:w="926" w:type="dxa"/>
            <w:vMerge w:val="continue"/>
            <w:tcBorders>
              <w:left w:val="single" w:color="000000" w:sz="4" w:space="0"/>
              <w:right w:val="single" w:color="000000" w:sz="4" w:space="0"/>
            </w:tcBorders>
            <w:vAlign w:val="center"/>
          </w:tcPr>
          <w:p>
            <w:pPr>
              <w:autoSpaceDN w:val="0"/>
              <w:jc w:val="center"/>
              <w:textAlignment w:val="center"/>
              <w:rPr>
                <w:rFonts w:ascii="宋体" w:hAnsi="宋体"/>
                <w:color w:val="000000"/>
                <w:sz w:val="18"/>
              </w:rPr>
            </w:pPr>
          </w:p>
        </w:tc>
        <w:tc>
          <w:tcPr>
            <w:tcW w:w="3015"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ascii="宋体" w:hAnsi="宋体"/>
                <w:color w:val="000000"/>
                <w:sz w:val="18"/>
              </w:rPr>
            </w:pPr>
            <w:r>
              <w:rPr>
                <w:rFonts w:ascii="宋体" w:hAnsi="宋体"/>
                <w:color w:val="000000"/>
                <w:sz w:val="18"/>
              </w:rPr>
              <w:t>当年命案破案数/当年命案总数（3分）</w:t>
            </w:r>
          </w:p>
        </w:tc>
        <w:tc>
          <w:tcPr>
            <w:tcW w:w="2123"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ascii="宋体" w:hAnsi="宋体"/>
                <w:color w:val="000000"/>
                <w:sz w:val="18"/>
              </w:rPr>
            </w:pPr>
            <w:r>
              <w:rPr>
                <w:rFonts w:ascii="宋体" w:hAnsi="宋体"/>
                <w:color w:val="000000"/>
                <w:sz w:val="18"/>
              </w:rPr>
              <w:t>当年发生命案全部侦破，得3分</w:t>
            </w:r>
          </w:p>
        </w:tc>
        <w:tc>
          <w:tcPr>
            <w:tcW w:w="1061"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ascii="宋体" w:hAnsi="宋体"/>
                <w:color w:val="000000"/>
                <w:sz w:val="18"/>
              </w:rPr>
            </w:pPr>
            <w:r>
              <w:rPr>
                <w:rFonts w:ascii="宋体" w:hAnsi="宋体"/>
                <w:color w:val="000000"/>
                <w:sz w:val="18"/>
              </w:rPr>
              <w:t>3</w:t>
            </w:r>
          </w:p>
        </w:tc>
        <w:tc>
          <w:tcPr>
            <w:tcW w:w="1061"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ascii="宋体" w:hAnsi="宋体"/>
                <w:color w:val="000000"/>
                <w:sz w:val="18"/>
              </w:rPr>
            </w:pPr>
            <w:r>
              <w:rPr>
                <w:rFonts w:ascii="宋体" w:hAnsi="宋体"/>
                <w:color w:val="000000"/>
                <w:sz w:val="18"/>
              </w:rPr>
              <w:t>3</w:t>
            </w:r>
          </w:p>
        </w:tc>
      </w:tr>
      <w:tr>
        <w:tblPrEx>
          <w:tblLayout w:type="fixed"/>
          <w:tblCellMar>
            <w:top w:w="0" w:type="dxa"/>
            <w:left w:w="15" w:type="dxa"/>
            <w:bottom w:w="0" w:type="dxa"/>
            <w:right w:w="15" w:type="dxa"/>
          </w:tblCellMar>
        </w:tblPrEx>
        <w:trPr>
          <w:trHeight w:val="675" w:hRule="atLeast"/>
        </w:trPr>
        <w:tc>
          <w:tcPr>
            <w:tcW w:w="1228" w:type="dxa"/>
            <w:vMerge w:val="continue"/>
            <w:tcBorders>
              <w:top w:val="single" w:color="000000" w:sz="4" w:space="0"/>
              <w:left w:val="single" w:color="000000" w:sz="4" w:space="0"/>
              <w:bottom w:val="single" w:color="000000" w:sz="4" w:space="0"/>
              <w:right w:val="single" w:color="000000" w:sz="4" w:space="0"/>
            </w:tcBorders>
            <w:vAlign w:val="center"/>
          </w:tcPr>
          <w:p>
            <w:pPr>
              <w:rPr>
                <w:rFonts w:ascii="宋体" w:hAnsi="宋体"/>
                <w:sz w:val="24"/>
              </w:rPr>
            </w:pPr>
          </w:p>
        </w:tc>
        <w:tc>
          <w:tcPr>
            <w:tcW w:w="3755" w:type="dxa"/>
            <w:gridSpan w:val="2"/>
            <w:vMerge w:val="continue"/>
            <w:tcBorders>
              <w:left w:val="single" w:color="000000" w:sz="4" w:space="0"/>
              <w:right w:val="single" w:color="000000" w:sz="4" w:space="0"/>
            </w:tcBorders>
            <w:vAlign w:val="center"/>
          </w:tcPr>
          <w:p>
            <w:pPr>
              <w:autoSpaceDN w:val="0"/>
              <w:jc w:val="center"/>
              <w:textAlignment w:val="center"/>
              <w:rPr>
                <w:rFonts w:ascii="宋体" w:hAnsi="宋体"/>
                <w:color w:val="000000"/>
                <w:sz w:val="18"/>
              </w:rPr>
            </w:pPr>
          </w:p>
        </w:tc>
        <w:tc>
          <w:tcPr>
            <w:tcW w:w="2259" w:type="dxa"/>
            <w:vMerge w:val="continue"/>
            <w:tcBorders>
              <w:left w:val="single" w:color="000000" w:sz="4" w:space="0"/>
              <w:right w:val="single" w:color="000000" w:sz="4" w:space="0"/>
            </w:tcBorders>
            <w:vAlign w:val="center"/>
          </w:tcPr>
          <w:p>
            <w:pPr>
              <w:autoSpaceDN w:val="0"/>
              <w:jc w:val="center"/>
              <w:textAlignment w:val="center"/>
              <w:rPr>
                <w:rFonts w:ascii="宋体" w:hAnsi="宋体"/>
                <w:color w:val="000000"/>
                <w:sz w:val="18"/>
              </w:rPr>
            </w:pPr>
          </w:p>
        </w:tc>
        <w:tc>
          <w:tcPr>
            <w:tcW w:w="926" w:type="dxa"/>
            <w:vMerge w:val="continue"/>
            <w:tcBorders>
              <w:left w:val="single" w:color="000000" w:sz="4" w:space="0"/>
              <w:right w:val="single" w:color="000000" w:sz="4" w:space="0"/>
            </w:tcBorders>
            <w:vAlign w:val="center"/>
          </w:tcPr>
          <w:p>
            <w:pPr>
              <w:autoSpaceDN w:val="0"/>
              <w:jc w:val="center"/>
              <w:textAlignment w:val="center"/>
              <w:rPr>
                <w:rFonts w:ascii="宋体" w:hAnsi="宋体"/>
                <w:color w:val="000000"/>
                <w:sz w:val="18"/>
              </w:rPr>
            </w:pPr>
          </w:p>
        </w:tc>
        <w:tc>
          <w:tcPr>
            <w:tcW w:w="3015"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ascii="宋体" w:hAnsi="宋体"/>
                <w:color w:val="000000"/>
                <w:sz w:val="18"/>
              </w:rPr>
            </w:pPr>
            <w:r>
              <w:rPr>
                <w:rFonts w:ascii="宋体" w:hAnsi="宋体"/>
                <w:color w:val="000000"/>
                <w:sz w:val="18"/>
              </w:rPr>
              <w:t>通过短信回访等渠道测评报警群众对公安机关接处警情况满意度（3分）</w:t>
            </w:r>
          </w:p>
        </w:tc>
        <w:tc>
          <w:tcPr>
            <w:tcW w:w="2123"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ascii="宋体" w:hAnsi="宋体"/>
                <w:color w:val="000000"/>
                <w:sz w:val="18"/>
              </w:rPr>
            </w:pPr>
            <w:r>
              <w:rPr>
                <w:rFonts w:ascii="宋体" w:hAnsi="宋体"/>
                <w:color w:val="000000"/>
                <w:sz w:val="18"/>
              </w:rPr>
              <w:t>实际接处警满意度达到目标值，得3分</w:t>
            </w:r>
          </w:p>
        </w:tc>
        <w:tc>
          <w:tcPr>
            <w:tcW w:w="1061"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ascii="宋体" w:hAnsi="宋体"/>
                <w:color w:val="000000"/>
                <w:sz w:val="18"/>
              </w:rPr>
            </w:pPr>
            <w:r>
              <w:rPr>
                <w:rFonts w:ascii="宋体" w:hAnsi="宋体"/>
                <w:color w:val="000000"/>
                <w:sz w:val="18"/>
              </w:rPr>
              <w:t>3</w:t>
            </w:r>
          </w:p>
        </w:tc>
        <w:tc>
          <w:tcPr>
            <w:tcW w:w="1061"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ascii="宋体" w:hAnsi="宋体"/>
                <w:color w:val="000000"/>
                <w:sz w:val="18"/>
              </w:rPr>
            </w:pPr>
            <w:r>
              <w:rPr>
                <w:rFonts w:ascii="宋体" w:hAnsi="宋体"/>
                <w:color w:val="000000"/>
                <w:sz w:val="18"/>
              </w:rPr>
              <w:t>3</w:t>
            </w:r>
          </w:p>
        </w:tc>
      </w:tr>
      <w:tr>
        <w:tblPrEx>
          <w:tblLayout w:type="fixed"/>
          <w:tblCellMar>
            <w:top w:w="0" w:type="dxa"/>
            <w:left w:w="15" w:type="dxa"/>
            <w:bottom w:w="0" w:type="dxa"/>
            <w:right w:w="15" w:type="dxa"/>
          </w:tblCellMar>
        </w:tblPrEx>
        <w:trPr>
          <w:trHeight w:val="720" w:hRule="atLeast"/>
        </w:trPr>
        <w:tc>
          <w:tcPr>
            <w:tcW w:w="1228" w:type="dxa"/>
            <w:vMerge w:val="continue"/>
            <w:tcBorders>
              <w:top w:val="single" w:color="000000" w:sz="4" w:space="0"/>
              <w:left w:val="single" w:color="000000" w:sz="4" w:space="0"/>
              <w:bottom w:val="single" w:color="000000" w:sz="4" w:space="0"/>
              <w:right w:val="single" w:color="000000" w:sz="4" w:space="0"/>
            </w:tcBorders>
            <w:vAlign w:val="center"/>
          </w:tcPr>
          <w:p>
            <w:pPr>
              <w:rPr>
                <w:rFonts w:ascii="宋体" w:hAnsi="宋体"/>
                <w:sz w:val="24"/>
              </w:rPr>
            </w:pPr>
          </w:p>
        </w:tc>
        <w:tc>
          <w:tcPr>
            <w:tcW w:w="3755" w:type="dxa"/>
            <w:gridSpan w:val="2"/>
            <w:vMerge w:val="continue"/>
            <w:tcBorders>
              <w:left w:val="single" w:color="000000" w:sz="4" w:space="0"/>
              <w:bottom w:val="single" w:color="000000" w:sz="4" w:space="0"/>
              <w:right w:val="single" w:color="000000" w:sz="4" w:space="0"/>
            </w:tcBorders>
            <w:vAlign w:val="center"/>
          </w:tcPr>
          <w:p>
            <w:pPr>
              <w:autoSpaceDN w:val="0"/>
              <w:jc w:val="center"/>
              <w:textAlignment w:val="center"/>
              <w:rPr>
                <w:rFonts w:ascii="宋体" w:hAnsi="宋体"/>
                <w:color w:val="000000"/>
                <w:sz w:val="18"/>
              </w:rPr>
            </w:pPr>
          </w:p>
        </w:tc>
        <w:tc>
          <w:tcPr>
            <w:tcW w:w="2259" w:type="dxa"/>
            <w:vMerge w:val="continue"/>
            <w:tcBorders>
              <w:left w:val="single" w:color="000000" w:sz="4" w:space="0"/>
              <w:bottom w:val="single" w:color="000000" w:sz="4" w:space="0"/>
              <w:right w:val="single" w:color="000000" w:sz="4" w:space="0"/>
            </w:tcBorders>
            <w:vAlign w:val="center"/>
          </w:tcPr>
          <w:p>
            <w:pPr>
              <w:autoSpaceDN w:val="0"/>
              <w:jc w:val="center"/>
              <w:textAlignment w:val="center"/>
              <w:rPr>
                <w:rFonts w:ascii="宋体" w:hAnsi="宋体"/>
                <w:color w:val="000000"/>
                <w:sz w:val="18"/>
              </w:rPr>
            </w:pPr>
          </w:p>
        </w:tc>
        <w:tc>
          <w:tcPr>
            <w:tcW w:w="926" w:type="dxa"/>
            <w:vMerge w:val="continue"/>
            <w:tcBorders>
              <w:left w:val="single" w:color="000000" w:sz="4" w:space="0"/>
              <w:bottom w:val="single" w:color="000000" w:sz="4" w:space="0"/>
              <w:right w:val="single" w:color="000000" w:sz="4" w:space="0"/>
            </w:tcBorders>
            <w:vAlign w:val="center"/>
          </w:tcPr>
          <w:p>
            <w:pPr>
              <w:autoSpaceDN w:val="0"/>
              <w:jc w:val="center"/>
              <w:textAlignment w:val="center"/>
              <w:rPr>
                <w:rFonts w:ascii="宋体" w:hAnsi="宋体"/>
                <w:color w:val="000000"/>
                <w:sz w:val="18"/>
              </w:rPr>
            </w:pPr>
          </w:p>
        </w:tc>
        <w:tc>
          <w:tcPr>
            <w:tcW w:w="3015"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ascii="宋体" w:hAnsi="宋体"/>
                <w:color w:val="000000"/>
                <w:sz w:val="18"/>
              </w:rPr>
            </w:pPr>
            <w:r>
              <w:rPr>
                <w:rFonts w:ascii="宋体" w:hAnsi="宋体"/>
                <w:color w:val="000000"/>
                <w:sz w:val="18"/>
              </w:rPr>
              <w:t>已实现信息化覆盖的业务项数/应实现信息化覆盖的总业务项数（3分）</w:t>
            </w:r>
          </w:p>
        </w:tc>
        <w:tc>
          <w:tcPr>
            <w:tcW w:w="2123"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ascii="宋体" w:hAnsi="宋体"/>
                <w:color w:val="000000"/>
                <w:sz w:val="18"/>
              </w:rPr>
            </w:pPr>
            <w:r>
              <w:rPr>
                <w:rFonts w:ascii="宋体" w:hAnsi="宋体"/>
                <w:color w:val="000000"/>
                <w:sz w:val="18"/>
              </w:rPr>
              <w:t>实际信息化建设覆盖率达到目标值，得3分</w:t>
            </w:r>
          </w:p>
        </w:tc>
        <w:tc>
          <w:tcPr>
            <w:tcW w:w="1061"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ascii="宋体" w:hAnsi="宋体"/>
                <w:color w:val="000000"/>
                <w:sz w:val="18"/>
              </w:rPr>
            </w:pPr>
            <w:r>
              <w:rPr>
                <w:rFonts w:ascii="宋体" w:hAnsi="宋体"/>
                <w:color w:val="000000"/>
                <w:sz w:val="18"/>
              </w:rPr>
              <w:t>3</w:t>
            </w:r>
          </w:p>
        </w:tc>
        <w:tc>
          <w:tcPr>
            <w:tcW w:w="1061"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ascii="宋体" w:hAnsi="宋体"/>
                <w:color w:val="000000"/>
                <w:sz w:val="18"/>
              </w:rPr>
            </w:pPr>
            <w:r>
              <w:rPr>
                <w:rFonts w:ascii="宋体" w:hAnsi="宋体"/>
                <w:color w:val="000000"/>
                <w:sz w:val="18"/>
              </w:rPr>
              <w:t>3</w:t>
            </w:r>
          </w:p>
        </w:tc>
      </w:tr>
      <w:tr>
        <w:tblPrEx>
          <w:tblLayout w:type="fixed"/>
          <w:tblCellMar>
            <w:top w:w="0" w:type="dxa"/>
            <w:left w:w="15" w:type="dxa"/>
            <w:bottom w:w="0" w:type="dxa"/>
            <w:right w:w="15" w:type="dxa"/>
          </w:tblCellMar>
        </w:tblPrEx>
        <w:trPr>
          <w:trHeight w:val="1810" w:hRule="atLeast"/>
        </w:trPr>
        <w:tc>
          <w:tcPr>
            <w:tcW w:w="1228"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ascii="宋体" w:hAnsi="宋体"/>
                <w:color w:val="000000"/>
                <w:sz w:val="18"/>
              </w:rPr>
            </w:pPr>
            <w:r>
              <w:rPr>
                <w:rFonts w:ascii="宋体" w:hAnsi="宋体"/>
                <w:color w:val="000000"/>
                <w:sz w:val="18"/>
              </w:rPr>
              <w:t>效益指标</w:t>
            </w:r>
          </w:p>
        </w:tc>
        <w:tc>
          <w:tcPr>
            <w:tcW w:w="3669" w:type="dxa"/>
            <w:tcBorders>
              <w:top w:val="single" w:color="000000" w:sz="4" w:space="0"/>
              <w:left w:val="single" w:color="000000" w:sz="4" w:space="0"/>
              <w:right w:val="single" w:color="000000" w:sz="4" w:space="0"/>
            </w:tcBorders>
            <w:vAlign w:val="center"/>
          </w:tcPr>
          <w:p>
            <w:pPr>
              <w:autoSpaceDN w:val="0"/>
              <w:jc w:val="center"/>
              <w:textAlignment w:val="center"/>
              <w:rPr>
                <w:rFonts w:ascii="宋体" w:hAnsi="宋体"/>
                <w:color w:val="000000"/>
                <w:sz w:val="18"/>
              </w:rPr>
            </w:pPr>
            <w:r>
              <w:rPr>
                <w:rFonts w:ascii="宋体" w:hAnsi="宋体"/>
                <w:color w:val="000000"/>
                <w:sz w:val="18"/>
              </w:rPr>
              <w:t>社会效益</w:t>
            </w:r>
          </w:p>
          <w:p>
            <w:pPr>
              <w:jc w:val="center"/>
              <w:rPr>
                <w:rFonts w:ascii="宋体" w:hAnsi="宋体" w:cs="宋体"/>
                <w:color w:val="000000"/>
                <w:sz w:val="18"/>
                <w:szCs w:val="18"/>
              </w:rPr>
            </w:pPr>
          </w:p>
        </w:tc>
        <w:tc>
          <w:tcPr>
            <w:tcW w:w="2345" w:type="dxa"/>
            <w:gridSpan w:val="2"/>
            <w:tcBorders>
              <w:top w:val="single" w:color="000000" w:sz="4" w:space="0"/>
              <w:left w:val="single" w:color="000000" w:sz="4" w:space="0"/>
              <w:right w:val="single" w:color="000000" w:sz="4" w:space="0"/>
            </w:tcBorders>
            <w:vAlign w:val="center"/>
          </w:tcPr>
          <w:p>
            <w:pPr>
              <w:autoSpaceDN w:val="0"/>
              <w:jc w:val="center"/>
              <w:textAlignment w:val="center"/>
              <w:rPr>
                <w:rFonts w:ascii="宋体" w:hAnsi="宋体"/>
                <w:color w:val="000000"/>
                <w:sz w:val="18"/>
              </w:rPr>
            </w:pPr>
            <w:r>
              <w:rPr>
                <w:rFonts w:hint="eastAsia"/>
                <w:color w:val="000000"/>
                <w:sz w:val="18"/>
                <w:szCs w:val="18"/>
              </w:rPr>
              <w:t>公众安全感</w:t>
            </w:r>
          </w:p>
        </w:tc>
        <w:tc>
          <w:tcPr>
            <w:tcW w:w="926" w:type="dxa"/>
            <w:tcBorders>
              <w:top w:val="single" w:color="000000" w:sz="4" w:space="0"/>
              <w:left w:val="single" w:color="000000" w:sz="4" w:space="0"/>
              <w:right w:val="single" w:color="000000" w:sz="4" w:space="0"/>
            </w:tcBorders>
            <w:vAlign w:val="center"/>
          </w:tcPr>
          <w:p>
            <w:pPr>
              <w:autoSpaceDN w:val="0"/>
              <w:jc w:val="center"/>
              <w:textAlignment w:val="center"/>
              <w:rPr>
                <w:rFonts w:ascii="宋体" w:hAnsi="宋体"/>
                <w:color w:val="000000"/>
                <w:sz w:val="18"/>
              </w:rPr>
            </w:pPr>
            <w:r>
              <w:rPr>
                <w:rFonts w:ascii="宋体" w:hAnsi="宋体"/>
                <w:color w:val="000000"/>
                <w:sz w:val="18"/>
              </w:rPr>
              <w:t>≥9</w:t>
            </w:r>
            <w:r>
              <w:rPr>
                <w:rFonts w:hint="eastAsia" w:ascii="宋体" w:hAnsi="宋体"/>
                <w:color w:val="000000"/>
                <w:sz w:val="18"/>
              </w:rPr>
              <w:t>0</w:t>
            </w:r>
            <w:r>
              <w:rPr>
                <w:rFonts w:ascii="宋体" w:hAnsi="宋体"/>
                <w:color w:val="000000"/>
                <w:sz w:val="18"/>
              </w:rPr>
              <w:t>%</w:t>
            </w:r>
          </w:p>
        </w:tc>
        <w:tc>
          <w:tcPr>
            <w:tcW w:w="3015" w:type="dxa"/>
            <w:tcBorders>
              <w:top w:val="single" w:color="000000" w:sz="4" w:space="0"/>
              <w:left w:val="single" w:color="000000" w:sz="4" w:space="0"/>
              <w:right w:val="single" w:color="000000" w:sz="4" w:space="0"/>
            </w:tcBorders>
            <w:vAlign w:val="center"/>
          </w:tcPr>
          <w:p>
            <w:pPr>
              <w:autoSpaceDN w:val="0"/>
              <w:jc w:val="center"/>
              <w:textAlignment w:val="center"/>
              <w:rPr>
                <w:rFonts w:ascii="宋体" w:hAnsi="宋体"/>
                <w:color w:val="000000"/>
                <w:sz w:val="18"/>
              </w:rPr>
            </w:pPr>
            <w:r>
              <w:rPr>
                <w:rFonts w:ascii="宋体" w:hAnsi="宋体"/>
                <w:color w:val="000000"/>
                <w:sz w:val="18"/>
              </w:rPr>
              <w:t>在打击违法犯罪、防范化解风险、维护公用安全、推进法治化建设等领域综合考量公安机关对社会稳定的贡献程度（3分）</w:t>
            </w:r>
          </w:p>
        </w:tc>
        <w:tc>
          <w:tcPr>
            <w:tcW w:w="2123" w:type="dxa"/>
            <w:tcBorders>
              <w:top w:val="single" w:color="000000" w:sz="4" w:space="0"/>
              <w:left w:val="single" w:color="000000" w:sz="4" w:space="0"/>
              <w:right w:val="single" w:color="000000" w:sz="4" w:space="0"/>
            </w:tcBorders>
            <w:vAlign w:val="center"/>
          </w:tcPr>
          <w:p>
            <w:pPr>
              <w:autoSpaceDN w:val="0"/>
              <w:jc w:val="center"/>
              <w:textAlignment w:val="center"/>
              <w:rPr>
                <w:rFonts w:ascii="宋体" w:hAnsi="宋体"/>
                <w:color w:val="000000"/>
                <w:sz w:val="18"/>
              </w:rPr>
            </w:pPr>
            <w:r>
              <w:rPr>
                <w:rFonts w:ascii="宋体" w:hAnsi="宋体"/>
                <w:color w:val="000000"/>
                <w:sz w:val="18"/>
              </w:rPr>
              <w:t>持续打击违法犯罪、防范化解风险、维护公用安全，社会大局持续稳定，得3分</w:t>
            </w:r>
          </w:p>
        </w:tc>
        <w:tc>
          <w:tcPr>
            <w:tcW w:w="1061" w:type="dxa"/>
            <w:tcBorders>
              <w:top w:val="single" w:color="000000" w:sz="4" w:space="0"/>
              <w:left w:val="single" w:color="000000" w:sz="4" w:space="0"/>
              <w:right w:val="single" w:color="000000" w:sz="4" w:space="0"/>
            </w:tcBorders>
            <w:vAlign w:val="center"/>
          </w:tcPr>
          <w:p>
            <w:pPr>
              <w:autoSpaceDN w:val="0"/>
              <w:jc w:val="center"/>
              <w:textAlignment w:val="center"/>
              <w:rPr>
                <w:rFonts w:ascii="宋体" w:hAnsi="宋体"/>
                <w:color w:val="000000"/>
                <w:sz w:val="18"/>
              </w:rPr>
            </w:pPr>
            <w:r>
              <w:rPr>
                <w:rFonts w:hint="eastAsia" w:ascii="宋体" w:hAnsi="宋体"/>
                <w:color w:val="000000"/>
                <w:sz w:val="18"/>
              </w:rPr>
              <w:t>12</w:t>
            </w:r>
          </w:p>
        </w:tc>
        <w:tc>
          <w:tcPr>
            <w:tcW w:w="1061" w:type="dxa"/>
            <w:tcBorders>
              <w:top w:val="single" w:color="000000" w:sz="4" w:space="0"/>
              <w:left w:val="single" w:color="000000" w:sz="4" w:space="0"/>
              <w:right w:val="single" w:color="000000" w:sz="4" w:space="0"/>
            </w:tcBorders>
            <w:vAlign w:val="center"/>
          </w:tcPr>
          <w:p>
            <w:pPr>
              <w:autoSpaceDN w:val="0"/>
              <w:jc w:val="center"/>
              <w:textAlignment w:val="center"/>
              <w:rPr>
                <w:rFonts w:ascii="宋体" w:hAnsi="宋体"/>
                <w:color w:val="000000"/>
                <w:sz w:val="18"/>
              </w:rPr>
            </w:pPr>
            <w:r>
              <w:rPr>
                <w:rFonts w:hint="eastAsia" w:ascii="宋体" w:hAnsi="宋体"/>
                <w:color w:val="000000"/>
                <w:sz w:val="18"/>
              </w:rPr>
              <w:t>12</w:t>
            </w:r>
          </w:p>
        </w:tc>
      </w:tr>
      <w:tr>
        <w:tblPrEx>
          <w:tblLayout w:type="fixed"/>
          <w:tblCellMar>
            <w:top w:w="0" w:type="dxa"/>
            <w:left w:w="15" w:type="dxa"/>
            <w:bottom w:w="0" w:type="dxa"/>
            <w:right w:w="15" w:type="dxa"/>
          </w:tblCellMar>
        </w:tblPrEx>
        <w:trPr>
          <w:trHeight w:val="675" w:hRule="atLeast"/>
        </w:trPr>
        <w:tc>
          <w:tcPr>
            <w:tcW w:w="1228" w:type="dxa"/>
            <w:tcBorders>
              <w:top w:val="single" w:color="000000" w:sz="4" w:space="0"/>
              <w:left w:val="single" w:color="000000" w:sz="4" w:space="0"/>
              <w:right w:val="single" w:color="000000" w:sz="4" w:space="0"/>
            </w:tcBorders>
            <w:vAlign w:val="center"/>
          </w:tcPr>
          <w:p>
            <w:pPr>
              <w:autoSpaceDN w:val="0"/>
              <w:jc w:val="center"/>
              <w:textAlignment w:val="center"/>
              <w:rPr>
                <w:rFonts w:ascii="宋体" w:hAnsi="宋体"/>
                <w:color w:val="000000"/>
                <w:sz w:val="18"/>
              </w:rPr>
            </w:pPr>
            <w:r>
              <w:rPr>
                <w:rFonts w:ascii="宋体" w:hAnsi="宋体"/>
                <w:color w:val="000000"/>
                <w:sz w:val="18"/>
              </w:rPr>
              <w:t>满意度指标</w:t>
            </w:r>
          </w:p>
        </w:tc>
        <w:tc>
          <w:tcPr>
            <w:tcW w:w="3669" w:type="dxa"/>
            <w:tcBorders>
              <w:top w:val="single" w:color="000000" w:sz="4" w:space="0"/>
              <w:left w:val="single" w:color="000000" w:sz="4" w:space="0"/>
              <w:right w:val="single" w:color="000000" w:sz="4" w:space="0"/>
            </w:tcBorders>
            <w:vAlign w:val="center"/>
          </w:tcPr>
          <w:p>
            <w:pPr>
              <w:autoSpaceDN w:val="0"/>
              <w:jc w:val="center"/>
              <w:textAlignment w:val="center"/>
              <w:rPr>
                <w:rFonts w:ascii="宋体" w:hAnsi="宋体"/>
                <w:color w:val="000000"/>
                <w:sz w:val="18"/>
              </w:rPr>
            </w:pPr>
            <w:r>
              <w:rPr>
                <w:rFonts w:ascii="宋体" w:hAnsi="宋体"/>
                <w:color w:val="000000"/>
                <w:sz w:val="18"/>
              </w:rPr>
              <w:t>服务对象满意度</w:t>
            </w:r>
          </w:p>
        </w:tc>
        <w:tc>
          <w:tcPr>
            <w:tcW w:w="2345" w:type="dxa"/>
            <w:gridSpan w:val="2"/>
            <w:tcBorders>
              <w:top w:val="single" w:color="000000" w:sz="4" w:space="0"/>
              <w:left w:val="single" w:color="000000" w:sz="4" w:space="0"/>
              <w:right w:val="single" w:color="000000" w:sz="4" w:space="0"/>
            </w:tcBorders>
            <w:vAlign w:val="center"/>
          </w:tcPr>
          <w:p>
            <w:pPr>
              <w:jc w:val="center"/>
              <w:rPr>
                <w:rFonts w:ascii="宋体" w:hAnsi="宋体" w:cs="宋体"/>
                <w:color w:val="000000"/>
                <w:sz w:val="18"/>
                <w:szCs w:val="18"/>
              </w:rPr>
            </w:pPr>
            <w:r>
              <w:rPr>
                <w:rFonts w:hint="eastAsia"/>
                <w:color w:val="000000"/>
                <w:sz w:val="18"/>
                <w:szCs w:val="18"/>
              </w:rPr>
              <w:t>群众满意度</w:t>
            </w:r>
          </w:p>
          <w:p>
            <w:pPr>
              <w:autoSpaceDN w:val="0"/>
              <w:jc w:val="center"/>
              <w:textAlignment w:val="center"/>
              <w:rPr>
                <w:rFonts w:ascii="宋体" w:hAnsi="宋体"/>
                <w:color w:val="000000"/>
                <w:sz w:val="18"/>
              </w:rPr>
            </w:pPr>
          </w:p>
        </w:tc>
        <w:tc>
          <w:tcPr>
            <w:tcW w:w="926" w:type="dxa"/>
            <w:tcBorders>
              <w:top w:val="single" w:color="000000" w:sz="4" w:space="0"/>
              <w:left w:val="single" w:color="000000" w:sz="4" w:space="0"/>
              <w:right w:val="single" w:color="000000" w:sz="4" w:space="0"/>
            </w:tcBorders>
            <w:vAlign w:val="center"/>
          </w:tcPr>
          <w:p>
            <w:pPr>
              <w:jc w:val="center"/>
              <w:rPr>
                <w:rFonts w:ascii="宋体" w:hAnsi="宋体" w:cs="宋体"/>
                <w:color w:val="000000"/>
                <w:sz w:val="18"/>
                <w:szCs w:val="18"/>
              </w:rPr>
            </w:pPr>
            <w:r>
              <w:rPr>
                <w:rFonts w:hint="eastAsia"/>
                <w:color w:val="000000"/>
                <w:sz w:val="18"/>
                <w:szCs w:val="18"/>
              </w:rPr>
              <w:t>≥90%</w:t>
            </w:r>
          </w:p>
          <w:p>
            <w:pPr>
              <w:autoSpaceDN w:val="0"/>
              <w:jc w:val="center"/>
              <w:textAlignment w:val="center"/>
              <w:rPr>
                <w:rFonts w:ascii="宋体" w:hAnsi="宋体"/>
                <w:color w:val="000000"/>
                <w:sz w:val="18"/>
              </w:rPr>
            </w:pPr>
          </w:p>
        </w:tc>
        <w:tc>
          <w:tcPr>
            <w:tcW w:w="3015"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ascii="宋体" w:hAnsi="宋体"/>
                <w:color w:val="000000"/>
                <w:sz w:val="18"/>
              </w:rPr>
            </w:pPr>
            <w:r>
              <w:rPr>
                <w:rFonts w:ascii="宋体" w:hAnsi="宋体"/>
                <w:color w:val="000000"/>
                <w:sz w:val="18"/>
              </w:rPr>
              <w:t>在纪律作风、廉洁自律、整体形象等方面是否让群众满意（6分）</w:t>
            </w:r>
          </w:p>
        </w:tc>
        <w:tc>
          <w:tcPr>
            <w:tcW w:w="2123"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ascii="宋体" w:hAnsi="宋体"/>
                <w:color w:val="000000"/>
                <w:sz w:val="18"/>
              </w:rPr>
            </w:pPr>
            <w:r>
              <w:rPr>
                <w:rFonts w:ascii="宋体" w:hAnsi="宋体"/>
                <w:color w:val="000000"/>
                <w:sz w:val="18"/>
              </w:rPr>
              <w:t>群众对公安机关纪律作风、廉洁自律、整体形象等方面满意，得6分</w:t>
            </w:r>
          </w:p>
        </w:tc>
        <w:tc>
          <w:tcPr>
            <w:tcW w:w="1061"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ascii="宋体" w:hAnsi="宋体"/>
                <w:color w:val="000000"/>
                <w:sz w:val="18"/>
              </w:rPr>
            </w:pPr>
            <w:r>
              <w:rPr>
                <w:rFonts w:ascii="宋体" w:hAnsi="宋体"/>
                <w:color w:val="000000"/>
                <w:sz w:val="18"/>
              </w:rPr>
              <w:t>6</w:t>
            </w:r>
          </w:p>
        </w:tc>
        <w:tc>
          <w:tcPr>
            <w:tcW w:w="1061"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ascii="宋体" w:hAnsi="宋体"/>
                <w:color w:val="000000"/>
                <w:sz w:val="18"/>
              </w:rPr>
            </w:pPr>
            <w:r>
              <w:rPr>
                <w:rFonts w:ascii="宋体" w:hAnsi="宋体"/>
                <w:color w:val="000000"/>
                <w:sz w:val="18"/>
              </w:rPr>
              <w:t>6</w:t>
            </w:r>
          </w:p>
        </w:tc>
      </w:tr>
      <w:tr>
        <w:tblPrEx>
          <w:tblLayout w:type="fixed"/>
          <w:tblCellMar>
            <w:top w:w="0" w:type="dxa"/>
            <w:left w:w="15" w:type="dxa"/>
            <w:bottom w:w="0" w:type="dxa"/>
            <w:right w:w="15" w:type="dxa"/>
          </w:tblCellMar>
        </w:tblPrEx>
        <w:trPr>
          <w:trHeight w:val="285" w:hRule="atLeast"/>
        </w:trPr>
        <w:tc>
          <w:tcPr>
            <w:tcW w:w="13306" w:type="dxa"/>
            <w:gridSpan w:val="7"/>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ascii="宋体" w:hAnsi="宋体"/>
                <w:color w:val="000000"/>
                <w:sz w:val="24"/>
              </w:rPr>
            </w:pPr>
            <w:r>
              <w:rPr>
                <w:rFonts w:ascii="宋体" w:hAnsi="宋体"/>
                <w:color w:val="000000"/>
                <w:sz w:val="24"/>
              </w:rPr>
              <w:t>合计</w:t>
            </w:r>
          </w:p>
        </w:tc>
        <w:tc>
          <w:tcPr>
            <w:tcW w:w="1061"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ascii="宋体" w:hAnsi="宋体"/>
                <w:color w:val="000000"/>
                <w:sz w:val="18"/>
              </w:rPr>
            </w:pPr>
            <w:r>
              <w:rPr>
                <w:rFonts w:ascii="宋体" w:hAnsi="宋体"/>
                <w:color w:val="000000"/>
                <w:sz w:val="18"/>
              </w:rPr>
              <w:t>100</w:t>
            </w:r>
          </w:p>
        </w:tc>
        <w:tc>
          <w:tcPr>
            <w:tcW w:w="1061"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ascii="宋体" w:hAnsi="宋体"/>
                <w:color w:val="000000"/>
                <w:sz w:val="18"/>
              </w:rPr>
            </w:pPr>
            <w:r>
              <w:rPr>
                <w:rFonts w:ascii="宋体" w:hAnsi="宋体"/>
                <w:color w:val="000000"/>
                <w:sz w:val="18"/>
              </w:rPr>
              <w:t>99</w:t>
            </w:r>
            <w:r>
              <w:rPr>
                <w:rFonts w:hint="eastAsia" w:ascii="宋体" w:hAnsi="宋体"/>
                <w:color w:val="000000"/>
                <w:sz w:val="18"/>
              </w:rPr>
              <w:t>.9</w:t>
            </w:r>
          </w:p>
        </w:tc>
      </w:tr>
    </w:tbl>
    <w:p>
      <w:pPr>
        <w:widowControl/>
        <w:tabs>
          <w:tab w:val="left" w:pos="2418"/>
        </w:tabs>
        <w:jc w:val="left"/>
        <w:rPr>
          <w:rFonts w:ascii="仿宋_GB2312" w:eastAsia="仿宋_GB2312"/>
          <w:sz w:val="24"/>
        </w:rPr>
      </w:pPr>
      <w:r>
        <w:rPr>
          <w:rFonts w:ascii="仿宋_GB2312" w:eastAsia="仿宋_GB2312"/>
          <w:sz w:val="24"/>
        </w:rPr>
        <w:tab/>
      </w:r>
    </w:p>
    <w:p>
      <w:pPr>
        <w:spacing w:line="520" w:lineRule="exact"/>
        <w:ind w:firstLine="1050" w:firstLineChars="500"/>
      </w:pPr>
    </w:p>
    <w:bookmarkEnd w:id="0"/>
    <w:sectPr>
      <w:footerReference r:id="rId3" w:type="default"/>
      <w:pgSz w:w="16838" w:h="11906" w:orient="landscape"/>
      <w:pgMar w:top="720" w:right="720" w:bottom="720" w:left="720" w:header="851" w:footer="454"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modern"/>
    <w:pitch w:val="default"/>
    <w:sig w:usb0="E00002FF" w:usb1="400004FF" w:usb2="00000000" w:usb3="00000000" w:csb0="2000019F" w:csb1="00000000"/>
  </w:font>
  <w:font w:name="Calibri">
    <w:panose1 w:val="020F0502020204030204"/>
    <w:charset w:val="00"/>
    <w:family w:val="decorative"/>
    <w:pitch w:val="default"/>
    <w:sig w:usb0="E10002FF" w:usb1="4000ACFF" w:usb2="00000009" w:usb3="00000000" w:csb0="2000019F" w:csb1="00000000"/>
  </w:font>
  <w:font w:name="仿宋_GB2312">
    <w:panose1 w:val="02010609030101010101"/>
    <w:charset w:val="86"/>
    <w:family w:val="swiss"/>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方正黑体_GBK">
    <w:panose1 w:val="03000509000000000000"/>
    <w:charset w:val="86"/>
    <w:family w:val="script"/>
    <w:pitch w:val="default"/>
    <w:sig w:usb0="00000001" w:usb1="080E0000" w:usb2="00000000" w:usb3="00000000" w:csb0="00040000" w:csb1="00000000"/>
  </w:font>
  <w:font w:name="方正楷体_GBK">
    <w:panose1 w:val="03000509000000000000"/>
    <w:charset w:val="86"/>
    <w:family w:val="script"/>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仿宋">
    <w:panose1 w:val="02010609060101010101"/>
    <w:charset w:val="86"/>
    <w:family w:val="swiss"/>
    <w:pitch w:val="default"/>
    <w:sig w:usb0="800002BF" w:usb1="38CF7CFA" w:usb2="00000016" w:usb3="00000000" w:csb0="00040001" w:csb1="00000000"/>
  </w:font>
  <w:font w:name="黑体">
    <w:panose1 w:val="02010600030101010101"/>
    <w:charset w:val="86"/>
    <w:family w:val="swiss"/>
    <w:pitch w:val="default"/>
    <w:sig w:usb0="800002BF" w:usb1="38CF7CFA" w:usb2="00000016" w:usb3="00000000" w:csb0="00040001" w:csb1="00000000"/>
  </w:font>
  <w:font w:name="方正小标宋简体">
    <w:altName w:val="微软雅黑"/>
    <w:panose1 w:val="00000000000000000000"/>
    <w:charset w:val="86"/>
    <w:family w:val="auto"/>
    <w:pitch w:val="default"/>
    <w:sig w:usb0="00000000" w:usb1="00000000" w:usb2="00000012" w:usb3="00000000" w:csb0="00040001"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jc w:val="center"/>
    </w:pPr>
    <w:r>
      <w:rPr>
        <w:b/>
        <w:sz w:val="24"/>
        <w:szCs w:val="24"/>
      </w:rPr>
      <w:fldChar w:fldCharType="begin"/>
    </w:r>
    <w:r>
      <w:rPr>
        <w:b/>
      </w:rPr>
      <w:instrText xml:space="preserve">PAGE</w:instrText>
    </w:r>
    <w:r>
      <w:rPr>
        <w:b/>
        <w:sz w:val="24"/>
        <w:szCs w:val="24"/>
      </w:rPr>
      <w:fldChar w:fldCharType="separate"/>
    </w:r>
    <w:r>
      <w:rPr>
        <w:b/>
      </w:rPr>
      <w:t>11</w:t>
    </w:r>
    <w:r>
      <w:rPr>
        <w:b/>
        <w:sz w:val="24"/>
        <w:szCs w:val="24"/>
      </w:rPr>
      <w:fldChar w:fldCharType="end"/>
    </w:r>
    <w:r>
      <w:rPr>
        <w:lang w:val="zh-CN"/>
      </w:rPr>
      <w:t xml:space="preserve"> / </w:t>
    </w:r>
    <w:r>
      <w:rPr>
        <w:b/>
        <w:sz w:val="24"/>
        <w:szCs w:val="24"/>
      </w:rPr>
      <w:fldChar w:fldCharType="begin"/>
    </w:r>
    <w:r>
      <w:rPr>
        <w:b/>
      </w:rPr>
      <w:instrText xml:space="preserve">NUMPAGES</w:instrText>
    </w:r>
    <w:r>
      <w:rPr>
        <w:b/>
        <w:sz w:val="24"/>
        <w:szCs w:val="24"/>
      </w:rPr>
      <w:fldChar w:fldCharType="separate"/>
    </w:r>
    <w:r>
      <w:rPr>
        <w:b/>
      </w:rPr>
      <w:t>12</w:t>
    </w:r>
    <w:r>
      <w:rPr>
        <w:b/>
        <w:sz w:val="24"/>
        <w:szCs w:val="24"/>
      </w:rPr>
      <w:fldChar w:fldCharType="end"/>
    </w:r>
  </w:p>
  <w:p>
    <w:pPr>
      <w:pStyle w:val="2"/>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1780045063">
    <w:nsid w:val="6A195507"/>
    <w:multiLevelType w:val="singleLevel"/>
    <w:tmpl w:val="6A195507"/>
    <w:lvl w:ilvl="0" w:tentative="1">
      <w:start w:val="2"/>
      <w:numFmt w:val="decimal"/>
      <w:suff w:val="nothing"/>
      <w:lvlText w:val="%1、"/>
      <w:lvlJc w:val="left"/>
    </w:lvl>
  </w:abstractNum>
  <w:num w:numId="1">
    <w:abstractNumId w:val="178004506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HorizontalSpacing w:val="105"/>
  <w:drawingGridVerticalSpacing w:val="156"/>
  <w:displayHorizontalDrawingGridEvery w:val="2"/>
  <w:noPunctuationKerning w:val="1"/>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2"/>
  </w:compat>
  <w:rsids>
    <w:rsidRoot w:val="00172A27"/>
    <w:rsid w:val="00007A70"/>
    <w:rsid w:val="00094B17"/>
    <w:rsid w:val="000A2D99"/>
    <w:rsid w:val="000F6A83"/>
    <w:rsid w:val="00126879"/>
    <w:rsid w:val="00140BF7"/>
    <w:rsid w:val="00172A27"/>
    <w:rsid w:val="00185ACD"/>
    <w:rsid w:val="001A30BA"/>
    <w:rsid w:val="001C7CEB"/>
    <w:rsid w:val="00264143"/>
    <w:rsid w:val="00284355"/>
    <w:rsid w:val="00284958"/>
    <w:rsid w:val="002A7538"/>
    <w:rsid w:val="002E2269"/>
    <w:rsid w:val="002E3CB7"/>
    <w:rsid w:val="00310A98"/>
    <w:rsid w:val="00350213"/>
    <w:rsid w:val="004054C0"/>
    <w:rsid w:val="004215DF"/>
    <w:rsid w:val="004639C5"/>
    <w:rsid w:val="00507A6E"/>
    <w:rsid w:val="005279BA"/>
    <w:rsid w:val="005660CC"/>
    <w:rsid w:val="00572B24"/>
    <w:rsid w:val="005B1966"/>
    <w:rsid w:val="005D12B6"/>
    <w:rsid w:val="005F1367"/>
    <w:rsid w:val="00627D43"/>
    <w:rsid w:val="0068380F"/>
    <w:rsid w:val="006A13D7"/>
    <w:rsid w:val="006B7F46"/>
    <w:rsid w:val="007A48D5"/>
    <w:rsid w:val="007B5F8D"/>
    <w:rsid w:val="007F30A4"/>
    <w:rsid w:val="00872709"/>
    <w:rsid w:val="008979C4"/>
    <w:rsid w:val="008C5DFE"/>
    <w:rsid w:val="008D41F5"/>
    <w:rsid w:val="008D49D7"/>
    <w:rsid w:val="009E5809"/>
    <w:rsid w:val="00A548D6"/>
    <w:rsid w:val="00A713F0"/>
    <w:rsid w:val="00A9483F"/>
    <w:rsid w:val="00A95214"/>
    <w:rsid w:val="00AF173A"/>
    <w:rsid w:val="00B87B98"/>
    <w:rsid w:val="00B95BEB"/>
    <w:rsid w:val="00BF56CA"/>
    <w:rsid w:val="00C46B19"/>
    <w:rsid w:val="00C56042"/>
    <w:rsid w:val="00CE28C5"/>
    <w:rsid w:val="00D43668"/>
    <w:rsid w:val="00D515BC"/>
    <w:rsid w:val="00DA2FA1"/>
    <w:rsid w:val="00DB4681"/>
    <w:rsid w:val="00E46E43"/>
    <w:rsid w:val="00EF2AB8"/>
    <w:rsid w:val="00F1583B"/>
    <w:rsid w:val="00F25C47"/>
    <w:rsid w:val="00F90DED"/>
    <w:rsid w:val="00F9667F"/>
    <w:rsid w:val="00FD7305"/>
    <w:rsid w:val="04B45EE4"/>
    <w:rsid w:val="29714059"/>
    <w:rsid w:val="2A023526"/>
    <w:rsid w:val="2F507B5F"/>
    <w:rsid w:val="370B6A96"/>
    <w:rsid w:val="389F3EAE"/>
    <w:rsid w:val="3E7914AD"/>
    <w:rsid w:val="401A7051"/>
    <w:rsid w:val="44227822"/>
    <w:rsid w:val="459F36AB"/>
    <w:rsid w:val="5BF87E20"/>
    <w:rsid w:val="5E29539D"/>
    <w:rsid w:val="5ED11FB5"/>
    <w:rsid w:val="61DF08D3"/>
    <w:rsid w:val="67C05D62"/>
    <w:rsid w:val="6C0079A1"/>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0" w:name="Normal Indent"/>
    <w:lsdException w:uiPriority="0" w:name="footnote text"/>
    <w:lsdException w:uiPriority="0" w:name="annotation text"/>
    <w:lsdException w:qFormat="1" w:uiPriority="99" w:semiHidden="0" w:name="header"/>
    <w:lsdException w:qFormat="1" w:uiPriority="99" w:semiHidden="0" w:name="footer"/>
    <w:lsdException w:uiPriority="0" w:name="index heading"/>
    <w:lsdException w:qFormat="1" w:uiPriority="35"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uiPriority="1" w:name="Default Paragraph Font"/>
    <w:lsdException w:qFormat="1" w:uiPriority="0" w:semiHidden="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sdException w:uiPriority="0" w:name="Salutation"/>
    <w:lsdException w:uiPriority="0" w:name="Date"/>
    <w:lsdException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22" w:semiHidden="0" w:name="Strong"/>
    <w:lsdException w:qFormat="1" w:unhideWhenUsed="0" w:uiPriority="2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0" w:name="Balloon Text"/>
    <w:lsdException w:uiPriority="9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unhideWhenUsed/>
    <w:uiPriority w:val="1"/>
  </w:style>
  <w:style w:type="table" w:default="1" w:styleId="8">
    <w:name w:val="Normal Table"/>
    <w:unhideWhenUsed/>
    <w:qFormat/>
    <w:uiPriority w:val="99"/>
    <w:tblPr>
      <w:tblLayout w:type="fixed"/>
      <w:tblCellMar>
        <w:top w:w="0" w:type="dxa"/>
        <w:left w:w="108" w:type="dxa"/>
        <w:bottom w:w="0" w:type="dxa"/>
        <w:right w:w="108" w:type="dxa"/>
      </w:tblCellMar>
    </w:tblPr>
  </w:style>
  <w:style w:type="paragraph" w:styleId="2">
    <w:name w:val="footer"/>
    <w:basedOn w:val="1"/>
    <w:next w:val="1"/>
    <w:link w:val="10"/>
    <w:unhideWhenUsed/>
    <w:qFormat/>
    <w:uiPriority w:val="99"/>
    <w:pPr>
      <w:tabs>
        <w:tab w:val="center" w:pos="4153"/>
        <w:tab w:val="right" w:pos="8306"/>
      </w:tabs>
      <w:snapToGrid w:val="0"/>
      <w:jc w:val="left"/>
    </w:pPr>
    <w:rPr>
      <w:sz w:val="18"/>
      <w:szCs w:val="18"/>
    </w:rPr>
  </w:style>
  <w:style w:type="paragraph" w:styleId="3">
    <w:name w:val="Body Text First Indent"/>
    <w:basedOn w:val="4"/>
    <w:link w:val="11"/>
    <w:unhideWhenUsed/>
    <w:uiPriority w:val="0"/>
    <w:pPr>
      <w:spacing w:after="120"/>
      <w:ind w:firstLine="420" w:firstLineChars="100"/>
    </w:pPr>
    <w:rPr>
      <w:sz w:val="21"/>
      <w:szCs w:val="24"/>
    </w:rPr>
  </w:style>
  <w:style w:type="paragraph" w:styleId="4">
    <w:name w:val="Body Text"/>
    <w:basedOn w:val="1"/>
    <w:link w:val="9"/>
    <w:unhideWhenUsed/>
    <w:qFormat/>
    <w:uiPriority w:val="0"/>
    <w:rPr>
      <w:sz w:val="32"/>
      <w:szCs w:val="32"/>
    </w:rPr>
  </w:style>
  <w:style w:type="paragraph" w:styleId="5">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Title"/>
    <w:link w:val="16"/>
    <w:qFormat/>
    <w:uiPriority w:val="0"/>
    <w:pPr>
      <w:widowControl w:val="0"/>
      <w:spacing w:line="0" w:lineRule="atLeast"/>
      <w:jc w:val="center"/>
    </w:pPr>
    <w:rPr>
      <w:rFonts w:ascii="方正小标宋_GBK" w:hAnsi="方正小标宋_GBK" w:eastAsia="方正小标宋_GBK" w:cs="方正小标宋_GBK"/>
      <w:kern w:val="2"/>
      <w:sz w:val="44"/>
      <w:szCs w:val="44"/>
      <w:lang w:val="en-US" w:eastAsia="zh-CN" w:bidi="ar-SA"/>
    </w:rPr>
  </w:style>
  <w:style w:type="character" w:customStyle="1" w:styleId="9">
    <w:name w:val="正文文本 Char"/>
    <w:basedOn w:val="7"/>
    <w:link w:val="4"/>
    <w:uiPriority w:val="0"/>
    <w:rPr>
      <w:kern w:val="2"/>
      <w:sz w:val="32"/>
      <w:szCs w:val="32"/>
    </w:rPr>
  </w:style>
  <w:style w:type="character" w:customStyle="1" w:styleId="10">
    <w:name w:val="页脚 Char"/>
    <w:basedOn w:val="7"/>
    <w:link w:val="2"/>
    <w:qFormat/>
    <w:uiPriority w:val="99"/>
    <w:rPr>
      <w:rFonts w:ascii="Times New Roman" w:hAnsi="Times New Roman" w:eastAsia="宋体" w:cs="Times New Roman"/>
      <w:sz w:val="18"/>
      <w:szCs w:val="18"/>
    </w:rPr>
  </w:style>
  <w:style w:type="character" w:customStyle="1" w:styleId="11">
    <w:name w:val="正文首行缩进 Char"/>
    <w:basedOn w:val="9"/>
    <w:link w:val="3"/>
    <w:uiPriority w:val="0"/>
  </w:style>
  <w:style w:type="character" w:customStyle="1" w:styleId="12">
    <w:name w:val="页眉 Char"/>
    <w:basedOn w:val="7"/>
    <w:link w:val="5"/>
    <w:semiHidden/>
    <w:qFormat/>
    <w:uiPriority w:val="99"/>
    <w:rPr>
      <w:rFonts w:ascii="Times New Roman" w:hAnsi="Times New Roman" w:eastAsia="宋体" w:cs="Times New Roman"/>
      <w:sz w:val="18"/>
      <w:szCs w:val="18"/>
    </w:rPr>
  </w:style>
  <w:style w:type="paragraph" w:customStyle="1" w:styleId="13">
    <w:name w:val="正文缩进1"/>
    <w:basedOn w:val="1"/>
    <w:qFormat/>
    <w:uiPriority w:val="99"/>
    <w:pPr>
      <w:ind w:firstLine="720" w:firstLineChars="200"/>
    </w:pPr>
    <w:rPr>
      <w:rFonts w:ascii="Calibri" w:hAnsi="Calibri"/>
      <w:kern w:val="0"/>
      <w:sz w:val="32"/>
    </w:rPr>
  </w:style>
  <w:style w:type="paragraph" w:customStyle="1" w:styleId="14">
    <w:name w:val="列出段落1"/>
    <w:basedOn w:val="1"/>
    <w:qFormat/>
    <w:uiPriority w:val="34"/>
    <w:pPr>
      <w:ind w:firstLine="420" w:firstLineChars="200"/>
    </w:pPr>
  </w:style>
  <w:style w:type="paragraph" w:customStyle="1" w:styleId="15">
    <w:name w:val="_Style 2"/>
    <w:basedOn w:val="1"/>
    <w:qFormat/>
    <w:uiPriority w:val="0"/>
    <w:pPr>
      <w:spacing w:line="549" w:lineRule="atLeast"/>
      <w:ind w:firstLine="623"/>
      <w:textAlignment w:val="baseline"/>
    </w:pPr>
    <w:rPr>
      <w:rFonts w:eastAsia="仿宋_GB2312"/>
      <w:color w:val="000000"/>
      <w:sz w:val="31"/>
    </w:rPr>
  </w:style>
  <w:style w:type="character" w:customStyle="1" w:styleId="16">
    <w:name w:val="标题 Char"/>
    <w:basedOn w:val="7"/>
    <w:link w:val="6"/>
    <w:uiPriority w:val="0"/>
    <w:rPr>
      <w:rFonts w:ascii="方正小标宋_GBK" w:hAnsi="方正小标宋_GBK" w:eastAsia="方正小标宋_GBK" w:cs="方正小标宋_GBK"/>
      <w:kern w:val="2"/>
      <w:sz w:val="44"/>
      <w:szCs w:val="44"/>
    </w:rPr>
  </w:style>
  <w:style w:type="paragraph" w:customStyle="1" w:styleId="17">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12</Pages>
  <Words>1039</Words>
  <Characters>5925</Characters>
  <Lines>49</Lines>
  <Paragraphs>13</Paragraphs>
  <TotalTime>0</TotalTime>
  <ScaleCrop>false</ScaleCrop>
  <LinksUpToDate>false</LinksUpToDate>
  <CharactersWithSpaces>6951</CharactersWithSpaces>
  <Application>WPS Office_10.8.0.5391_F1E327BC-269C-435d-A152-05C5408002CA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2026-10-08T06:18:00Z</dcterms:created>
  <dc:creator>Administrator</dc:creator>
  <cp:lastModifiedBy>Administrator</cp:lastModifiedBy>
  <cp:lastPrinted>2023-09-05T06:32:00Z</cp:lastPrinted>
  <dcterms:modified xsi:type="dcterms:W3CDTF">2026-10-19T02:04:50Z</dcterms:modified>
  <dc:title>2022年度南京市公安局秦淮分局部门</dc:title>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2052-10.8.0.5391</vt:lpwstr>
  </property>
  <property fmtid="{D5CDD505-2E9C-101B-9397-08002B2CF9AE}" pid="3" name="ICV">
    <vt:lpwstr>45A886CA162D4270AF3AAC54394D054D</vt:lpwstr>
  </property>
</Properties>
</file>