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0" w:lineRule="atLeast"/>
        <w:jc w:val="center"/>
        <w:rPr>
          <w:rFonts w:ascii="Times New Roman" w:hAnsi="Times New Roman" w:eastAsia="方正小标宋_GBK" w:cs="Times New Roman"/>
          <w:kern w:val="0"/>
          <w:sz w:val="44"/>
          <w:szCs w:val="44"/>
        </w:rPr>
      </w:pPr>
      <w:r>
        <w:rPr>
          <w:rFonts w:hint="eastAsia" w:ascii="Times New Roman" w:hAnsi="Times New Roman" w:eastAsia="方正小标宋_GBK" w:cs="Times New Roman"/>
          <w:kern w:val="0"/>
          <w:sz w:val="44"/>
          <w:szCs w:val="44"/>
          <w:lang w:eastAsia="zh-CN"/>
        </w:rPr>
        <w:t>2025</w:t>
      </w:r>
      <w:r>
        <w:rPr>
          <w:rFonts w:ascii="Times New Roman" w:hAnsi="Times New Roman" w:eastAsia="方正小标宋_GBK" w:cs="Times New Roman"/>
          <w:kern w:val="0"/>
          <w:sz w:val="44"/>
          <w:szCs w:val="44"/>
        </w:rPr>
        <w:t>年度南京市公安局禁毒支队</w:t>
      </w:r>
    </w:p>
    <w:p>
      <w:pPr>
        <w:widowControl/>
        <w:spacing w:line="0" w:lineRule="atLeast"/>
        <w:jc w:val="center"/>
        <w:rPr>
          <w:rFonts w:ascii="Times New Roman" w:hAnsi="Times New Roman" w:eastAsia="方正小标宋_GBK" w:cs="Times New Roman"/>
          <w:kern w:val="0"/>
          <w:sz w:val="44"/>
          <w:szCs w:val="44"/>
        </w:rPr>
      </w:pPr>
      <w:r>
        <w:rPr>
          <w:rFonts w:ascii="Times New Roman" w:hAnsi="Times New Roman" w:eastAsia="方正小标宋_GBK" w:cs="Times New Roman"/>
          <w:kern w:val="0"/>
          <w:sz w:val="44"/>
          <w:szCs w:val="44"/>
        </w:rPr>
        <w:t>整体绩效评价报告</w:t>
      </w:r>
    </w:p>
    <w:p>
      <w:pPr>
        <w:widowControl/>
        <w:spacing w:line="570" w:lineRule="exact"/>
        <w:ind w:firstLine="640" w:firstLineChars="200"/>
        <w:rPr>
          <w:rFonts w:ascii="Times New Roman" w:hAnsi="Times New Roman" w:eastAsia="方正仿宋_GBK" w:cs="Times New Roman"/>
          <w:kern w:val="0"/>
          <w:sz w:val="32"/>
          <w:szCs w:val="32"/>
        </w:rPr>
      </w:pPr>
    </w:p>
    <w:p>
      <w:pPr>
        <w:keepNext w:val="0"/>
        <w:keepLines w:val="0"/>
        <w:pageBreakBefore w:val="0"/>
        <w:widowControl/>
        <w:kinsoku/>
        <w:wordWrap/>
        <w:overflowPunct/>
        <w:topLinePunct w:val="0"/>
        <w:bidi w:val="0"/>
        <w:adjustRightInd/>
        <w:spacing w:line="240" w:lineRule="auto"/>
        <w:ind w:left="0" w:leftChars="0" w:right="0" w:rightChars="0" w:firstLine="640" w:firstLineChars="200"/>
        <w:jc w:val="both"/>
        <w:textAlignment w:val="auto"/>
        <w:outlineLvl w:val="9"/>
        <w:rPr>
          <w:rFonts w:ascii="Times New Roman" w:hAnsi="Times New Roman" w:eastAsia="方正黑体_GBK" w:cs="Times New Roman"/>
          <w:kern w:val="0"/>
          <w:sz w:val="32"/>
          <w:szCs w:val="32"/>
        </w:rPr>
      </w:pPr>
      <w:r>
        <w:rPr>
          <w:rFonts w:ascii="Times New Roman" w:hAnsi="Times New Roman" w:eastAsia="方正黑体_GBK" w:cs="Times New Roman"/>
          <w:kern w:val="0"/>
          <w:sz w:val="32"/>
          <w:szCs w:val="32"/>
        </w:rPr>
        <w:t>一、部门</w:t>
      </w:r>
      <w:r>
        <w:rPr>
          <w:rFonts w:ascii="Times New Roman" w:hAnsi="Times New Roman" w:eastAsia="方正黑体_GBK" w:cs="Times New Roman"/>
          <w:sz w:val="32"/>
          <w:szCs w:val="32"/>
        </w:rPr>
        <w:t>概况</w:t>
      </w:r>
    </w:p>
    <w:p>
      <w:pPr>
        <w:keepNext w:val="0"/>
        <w:keepLines w:val="0"/>
        <w:pageBreakBefore w:val="0"/>
        <w:kinsoku/>
        <w:wordWrap/>
        <w:overflowPunct/>
        <w:topLinePunct w:val="0"/>
        <w:bidi w:val="0"/>
        <w:adjustRightInd/>
        <w:spacing w:line="240" w:lineRule="auto"/>
        <w:ind w:left="0" w:leftChars="0" w:right="0" w:rightChars="0" w:firstLine="640" w:firstLineChars="200"/>
        <w:jc w:val="both"/>
        <w:textAlignment w:val="auto"/>
        <w:outlineLvl w:val="9"/>
        <w:rPr>
          <w:rFonts w:ascii="Times New Roman" w:hAnsi="Times New Roman" w:eastAsia="方正楷体_GBK" w:cs="Times New Roman"/>
          <w:sz w:val="32"/>
          <w:szCs w:val="32"/>
        </w:rPr>
      </w:pPr>
      <w:r>
        <w:rPr>
          <w:rFonts w:ascii="Times New Roman" w:hAnsi="Times New Roman" w:eastAsia="方正楷体_GBK" w:cs="Times New Roman"/>
          <w:kern w:val="0"/>
          <w:sz w:val="32"/>
          <w:szCs w:val="32"/>
        </w:rPr>
        <w:t>（一）部门基本情况</w:t>
      </w:r>
    </w:p>
    <w:p>
      <w:pPr>
        <w:keepNext w:val="0"/>
        <w:keepLines w:val="0"/>
        <w:pageBreakBefore w:val="0"/>
        <w:kinsoku/>
        <w:wordWrap/>
        <w:overflowPunct/>
        <w:topLinePunct w:val="0"/>
        <w:autoSpaceDE w:val="0"/>
        <w:autoSpaceDN w:val="0"/>
        <w:bidi w:val="0"/>
        <w:adjustRightInd/>
        <w:snapToGrid w:val="0"/>
        <w:spacing w:line="240" w:lineRule="auto"/>
        <w:ind w:left="0" w:leftChars="0" w:right="0" w:rightChars="0" w:firstLine="640" w:firstLineChars="200"/>
        <w:jc w:val="both"/>
        <w:textAlignment w:val="auto"/>
        <w:outlineLvl w:val="9"/>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1、</w:t>
      </w:r>
      <w:r>
        <w:rPr>
          <w:rFonts w:ascii="Times New Roman" w:hAnsi="Times New Roman" w:eastAsia="方正仿宋_GBK" w:cs="Times New Roman"/>
          <w:kern w:val="0"/>
          <w:sz w:val="32"/>
          <w:szCs w:val="32"/>
        </w:rPr>
        <w:t>部门基本情况</w:t>
      </w:r>
    </w:p>
    <w:p>
      <w:pPr>
        <w:keepNext w:val="0"/>
        <w:keepLines w:val="0"/>
        <w:pageBreakBefore w:val="0"/>
        <w:kinsoku/>
        <w:wordWrap/>
        <w:overflowPunct/>
        <w:topLinePunct w:val="0"/>
        <w:bidi w:val="0"/>
        <w:adjustRightInd/>
        <w:spacing w:line="240" w:lineRule="auto"/>
        <w:ind w:left="0" w:leftChars="0" w:right="0" w:rightChars="0" w:firstLine="640" w:firstLineChars="200"/>
        <w:jc w:val="both"/>
        <w:textAlignment w:val="auto"/>
        <w:outlineLvl w:val="9"/>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2025</w:t>
      </w:r>
      <w:r>
        <w:rPr>
          <w:rFonts w:ascii="Times New Roman" w:hAnsi="Times New Roman" w:eastAsia="方正仿宋_GBK" w:cs="Times New Roman"/>
          <w:sz w:val="32"/>
          <w:szCs w:val="32"/>
        </w:rPr>
        <w:t>年底南京市公安局禁毒支队实有在职人员5</w:t>
      </w:r>
      <w:r>
        <w:rPr>
          <w:rFonts w:hint="eastAsia" w:ascii="Times New Roman" w:hAnsi="Times New Roman" w:eastAsia="方正仿宋_GBK" w:cs="Times New Roman"/>
          <w:sz w:val="32"/>
          <w:szCs w:val="32"/>
          <w:lang w:val="en-US" w:eastAsia="zh-CN"/>
        </w:rPr>
        <w:t>1</w:t>
      </w:r>
      <w:r>
        <w:rPr>
          <w:rFonts w:ascii="Times New Roman" w:hAnsi="Times New Roman" w:eastAsia="方正仿宋_GBK" w:cs="Times New Roman"/>
          <w:sz w:val="32"/>
          <w:szCs w:val="32"/>
        </w:rPr>
        <w:t>人，离退休人员2</w:t>
      </w:r>
      <w:r>
        <w:rPr>
          <w:rFonts w:hint="eastAsia" w:ascii="Times New Roman" w:hAnsi="Times New Roman" w:eastAsia="方正仿宋_GBK" w:cs="Times New Roman"/>
          <w:sz w:val="32"/>
          <w:szCs w:val="32"/>
          <w:lang w:val="en-US" w:eastAsia="zh-CN"/>
        </w:rPr>
        <w:t>3</w:t>
      </w:r>
      <w:r>
        <w:rPr>
          <w:rFonts w:ascii="Times New Roman" w:hAnsi="Times New Roman" w:eastAsia="方正仿宋_GBK" w:cs="Times New Roman"/>
          <w:sz w:val="32"/>
          <w:szCs w:val="32"/>
        </w:rPr>
        <w:t>人。另有在册警务辅助人员编制数为</w:t>
      </w:r>
      <w:r>
        <w:rPr>
          <w:rFonts w:hint="eastAsia" w:ascii="Times New Roman" w:hAnsi="Times New Roman" w:eastAsia="方正仿宋_GBK" w:cs="Times New Roman"/>
          <w:sz w:val="32"/>
          <w:szCs w:val="32"/>
        </w:rPr>
        <w:t>16</w:t>
      </w:r>
      <w:r>
        <w:rPr>
          <w:rFonts w:ascii="Times New Roman" w:hAnsi="Times New Roman" w:eastAsia="方正仿宋_GBK" w:cs="Times New Roman"/>
          <w:sz w:val="32"/>
          <w:szCs w:val="32"/>
        </w:rPr>
        <w:t>人。</w:t>
      </w:r>
      <w:r>
        <w:rPr>
          <w:rFonts w:hint="eastAsia" w:ascii="Times New Roman" w:hAnsi="Times New Roman" w:eastAsia="方正仿宋_GBK" w:cs="Times New Roman"/>
          <w:sz w:val="32"/>
          <w:szCs w:val="32"/>
          <w:lang w:val="en-US" w:eastAsia="zh-CN"/>
        </w:rPr>
        <w:t>执勤执法车辆</w:t>
      </w:r>
      <w:r>
        <w:rPr>
          <w:rFonts w:ascii="Times New Roman" w:hAnsi="Times New Roman" w:eastAsia="方正仿宋_GBK" w:cs="Times New Roman"/>
          <w:sz w:val="32"/>
          <w:szCs w:val="32"/>
        </w:rPr>
        <w:t>14辆。内设机构包括指挥室、</w:t>
      </w:r>
      <w:r>
        <w:rPr>
          <w:rFonts w:hint="eastAsia" w:ascii="Times New Roman" w:hAnsi="Times New Roman" w:eastAsia="方正仿宋_GBK" w:cs="Times New Roman"/>
          <w:sz w:val="32"/>
          <w:szCs w:val="32"/>
        </w:rPr>
        <w:t>政工监督室</w:t>
      </w:r>
      <w:r>
        <w:rPr>
          <w:rFonts w:ascii="Times New Roman" w:hAnsi="Times New Roman" w:eastAsia="方正仿宋_GBK" w:cs="Times New Roman"/>
          <w:sz w:val="32"/>
          <w:szCs w:val="32"/>
        </w:rPr>
        <w:t>、禁毒大队、办案指导大队、缉毒一大队、缉毒二大队、情报大队、法制大队、毒品检测室</w:t>
      </w:r>
      <w:r>
        <w:rPr>
          <w:rFonts w:hint="eastAsia" w:ascii="Times New Roman" w:hAnsi="Times New Roman" w:eastAsia="方正仿宋_GBK" w:cs="Times New Roman"/>
          <w:sz w:val="32"/>
          <w:szCs w:val="32"/>
          <w:lang w:val="en-US" w:eastAsia="zh-CN"/>
        </w:rPr>
        <w:t>共九个</w:t>
      </w:r>
      <w:r>
        <w:rPr>
          <w:rFonts w:ascii="Times New Roman" w:hAnsi="Times New Roman" w:eastAsia="方正仿宋_GBK" w:cs="Times New Roman"/>
          <w:sz w:val="32"/>
          <w:szCs w:val="32"/>
        </w:rPr>
        <w:t>主要机构。</w:t>
      </w:r>
    </w:p>
    <w:p>
      <w:pPr>
        <w:keepNext w:val="0"/>
        <w:keepLines w:val="0"/>
        <w:pageBreakBefore w:val="0"/>
        <w:kinsoku/>
        <w:wordWrap/>
        <w:overflowPunct/>
        <w:topLinePunct w:val="0"/>
        <w:autoSpaceDE w:val="0"/>
        <w:autoSpaceDN w:val="0"/>
        <w:bidi w:val="0"/>
        <w:adjustRightInd/>
        <w:snapToGrid w:val="0"/>
        <w:spacing w:line="240" w:lineRule="auto"/>
        <w:ind w:left="0" w:leftChars="0" w:right="0" w:rightChars="0" w:firstLine="640" w:firstLineChars="200"/>
        <w:jc w:val="both"/>
        <w:textAlignment w:val="auto"/>
        <w:outlineLvl w:val="9"/>
        <w:rPr>
          <w:rFonts w:ascii="Times New Roman" w:hAnsi="Times New Roman" w:eastAsia="方正仿宋_GBK" w:cs="Times New Roman"/>
          <w:sz w:val="32"/>
          <w:szCs w:val="32"/>
        </w:rPr>
      </w:pPr>
      <w:r>
        <w:rPr>
          <w:rFonts w:ascii="Times New Roman" w:hAnsi="Times New Roman" w:eastAsia="方正仿宋_GBK" w:cs="Times New Roman"/>
          <w:sz w:val="32"/>
          <w:szCs w:val="32"/>
        </w:rPr>
        <w:t>2、部门主要职能</w:t>
      </w:r>
    </w:p>
    <w:p>
      <w:pPr>
        <w:pStyle w:val="2"/>
        <w:keepNext w:val="0"/>
        <w:keepLines w:val="0"/>
        <w:pageBreakBefore w:val="0"/>
        <w:kinsoku/>
        <w:wordWrap/>
        <w:overflowPunct/>
        <w:topLinePunct w:val="0"/>
        <w:bidi w:val="0"/>
        <w:adjustRightInd/>
        <w:spacing w:line="240" w:lineRule="auto"/>
        <w:ind w:left="0" w:leftChars="0" w:right="0" w:rightChars="0"/>
        <w:jc w:val="both"/>
        <w:textAlignment w:val="auto"/>
        <w:outlineLvl w:val="9"/>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（1）贯彻执行党和国家有关公安工作的方针、政策和法律、法规；</w:t>
      </w:r>
    </w:p>
    <w:p>
      <w:pPr>
        <w:pStyle w:val="2"/>
        <w:keepNext w:val="0"/>
        <w:keepLines w:val="0"/>
        <w:pageBreakBefore w:val="0"/>
        <w:kinsoku/>
        <w:wordWrap/>
        <w:overflowPunct/>
        <w:topLinePunct w:val="0"/>
        <w:bidi w:val="0"/>
        <w:adjustRightInd/>
        <w:spacing w:line="240" w:lineRule="auto"/>
        <w:ind w:left="0" w:leftChars="0" w:right="0" w:rightChars="0"/>
        <w:jc w:val="both"/>
        <w:textAlignment w:val="auto"/>
        <w:outlineLvl w:val="9"/>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（2）负责全市禁毒信息系统、吸毒人员动态管控情况检查、指导、考核及毒品案件统计工作；</w:t>
      </w:r>
    </w:p>
    <w:p>
      <w:pPr>
        <w:pStyle w:val="2"/>
        <w:keepNext w:val="0"/>
        <w:keepLines w:val="0"/>
        <w:pageBreakBefore w:val="0"/>
        <w:kinsoku/>
        <w:wordWrap/>
        <w:overflowPunct/>
        <w:topLinePunct w:val="0"/>
        <w:bidi w:val="0"/>
        <w:adjustRightInd/>
        <w:spacing w:line="240" w:lineRule="auto"/>
        <w:ind w:left="0" w:leftChars="0" w:right="0" w:rightChars="0"/>
        <w:jc w:val="both"/>
        <w:textAlignment w:val="auto"/>
        <w:outlineLvl w:val="9"/>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（3）负责全市禁毒宣传，毒品预防教育工作；</w:t>
      </w:r>
    </w:p>
    <w:p>
      <w:pPr>
        <w:pStyle w:val="2"/>
        <w:keepNext w:val="0"/>
        <w:keepLines w:val="0"/>
        <w:pageBreakBefore w:val="0"/>
        <w:kinsoku/>
        <w:wordWrap/>
        <w:overflowPunct/>
        <w:topLinePunct w:val="0"/>
        <w:bidi w:val="0"/>
        <w:adjustRightInd/>
        <w:spacing w:line="240" w:lineRule="auto"/>
        <w:ind w:left="0" w:leftChars="0" w:right="0" w:rightChars="0"/>
        <w:jc w:val="both"/>
        <w:textAlignment w:val="auto"/>
        <w:outlineLvl w:val="9"/>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（4）负责全市禁种铲毒工作；</w:t>
      </w:r>
    </w:p>
    <w:p>
      <w:pPr>
        <w:pStyle w:val="2"/>
        <w:keepNext w:val="0"/>
        <w:keepLines w:val="0"/>
        <w:pageBreakBefore w:val="0"/>
        <w:kinsoku/>
        <w:wordWrap/>
        <w:overflowPunct/>
        <w:topLinePunct w:val="0"/>
        <w:bidi w:val="0"/>
        <w:adjustRightInd/>
        <w:spacing w:line="240" w:lineRule="auto"/>
        <w:ind w:left="0" w:leftChars="0" w:right="0" w:rightChars="0"/>
        <w:jc w:val="both"/>
        <w:textAlignment w:val="auto"/>
        <w:outlineLvl w:val="9"/>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（5）负责全市吸毒人员的掌握和分析调研及动态管控；</w:t>
      </w:r>
    </w:p>
    <w:p>
      <w:pPr>
        <w:pStyle w:val="2"/>
        <w:keepNext w:val="0"/>
        <w:keepLines w:val="0"/>
        <w:pageBreakBefore w:val="0"/>
        <w:kinsoku/>
        <w:wordWrap/>
        <w:overflowPunct/>
        <w:topLinePunct w:val="0"/>
        <w:bidi w:val="0"/>
        <w:adjustRightInd/>
        <w:spacing w:line="240" w:lineRule="auto"/>
        <w:ind w:left="0" w:leftChars="0" w:right="0" w:rightChars="0"/>
        <w:jc w:val="both"/>
        <w:textAlignment w:val="auto"/>
        <w:outlineLvl w:val="9"/>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（6）负责全市创建“无毒社区”活动的开展并组织考核及表彰工作，社区戒毒情况进行监督、指导，开展禁吸帮教工作，建立健全全市社区戒毒帮教人员基础台账；</w:t>
      </w:r>
    </w:p>
    <w:p>
      <w:pPr>
        <w:pStyle w:val="2"/>
        <w:keepNext w:val="0"/>
        <w:keepLines w:val="0"/>
        <w:pageBreakBefore w:val="0"/>
        <w:kinsoku/>
        <w:wordWrap/>
        <w:overflowPunct/>
        <w:topLinePunct w:val="0"/>
        <w:bidi w:val="0"/>
        <w:adjustRightInd/>
        <w:spacing w:line="240" w:lineRule="auto"/>
        <w:ind w:left="0" w:leftChars="0" w:right="0" w:rightChars="0"/>
        <w:jc w:val="both"/>
        <w:textAlignment w:val="auto"/>
        <w:outlineLvl w:val="9"/>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（7）会同市局治安支队、市文化、工商等部门对公共娱乐场所、宾馆、饭店进行毒品预防教育，开展禁毒宣传工作；</w:t>
      </w:r>
    </w:p>
    <w:p>
      <w:pPr>
        <w:pStyle w:val="2"/>
        <w:keepNext w:val="0"/>
        <w:keepLines w:val="0"/>
        <w:pageBreakBefore w:val="0"/>
        <w:kinsoku/>
        <w:wordWrap/>
        <w:overflowPunct/>
        <w:topLinePunct w:val="0"/>
        <w:bidi w:val="0"/>
        <w:adjustRightInd/>
        <w:spacing w:line="240" w:lineRule="auto"/>
        <w:ind w:left="0" w:leftChars="0" w:right="0" w:rightChars="0"/>
        <w:jc w:val="both"/>
        <w:textAlignment w:val="auto"/>
        <w:outlineLvl w:val="9"/>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（8）负责全市精神麻醉药品、易制毒化学品的管理、教育培训和相关案件的查处工作；</w:t>
      </w:r>
    </w:p>
    <w:p>
      <w:pPr>
        <w:pStyle w:val="2"/>
        <w:keepNext w:val="0"/>
        <w:keepLines w:val="0"/>
        <w:pageBreakBefore w:val="0"/>
        <w:kinsoku/>
        <w:wordWrap/>
        <w:overflowPunct/>
        <w:topLinePunct w:val="0"/>
        <w:bidi w:val="0"/>
        <w:adjustRightInd/>
        <w:spacing w:line="240" w:lineRule="auto"/>
        <w:ind w:left="0" w:leftChars="0" w:right="0" w:rightChars="0"/>
        <w:jc w:val="both"/>
        <w:textAlignment w:val="auto"/>
        <w:outlineLvl w:val="9"/>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（9）负责对各区毒品案件办案情况进行业务指导,负责办理全市“三大刑”毒品案件，并在法定期限内审结完毕；</w:t>
      </w:r>
    </w:p>
    <w:p>
      <w:pPr>
        <w:pStyle w:val="2"/>
        <w:keepNext w:val="0"/>
        <w:keepLines w:val="0"/>
        <w:pageBreakBefore w:val="0"/>
        <w:kinsoku/>
        <w:wordWrap/>
        <w:overflowPunct/>
        <w:topLinePunct w:val="0"/>
        <w:bidi w:val="0"/>
        <w:adjustRightInd/>
        <w:spacing w:line="240" w:lineRule="auto"/>
        <w:ind w:left="0" w:leftChars="0" w:right="0" w:rightChars="0"/>
        <w:jc w:val="both"/>
        <w:textAlignment w:val="auto"/>
        <w:outlineLvl w:val="9"/>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（10）负责全市缉毒民警缉毒业务的教育、培训工作的实施；</w:t>
      </w:r>
    </w:p>
    <w:p>
      <w:pPr>
        <w:pStyle w:val="2"/>
        <w:keepNext w:val="0"/>
        <w:keepLines w:val="0"/>
        <w:pageBreakBefore w:val="0"/>
        <w:kinsoku/>
        <w:wordWrap/>
        <w:overflowPunct/>
        <w:topLinePunct w:val="0"/>
        <w:bidi w:val="0"/>
        <w:adjustRightInd/>
        <w:spacing w:line="240" w:lineRule="auto"/>
        <w:ind w:left="0" w:leftChars="0" w:right="0" w:rightChars="0"/>
        <w:jc w:val="both"/>
        <w:textAlignment w:val="auto"/>
        <w:outlineLvl w:val="9"/>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11）负责组织、协调、指导所属区毒品案件的侦办工作及独立侦办本市重特涉毒品案件。组织协调全市跨地区（跨省、市、区）涉毒案件的侦破工作，统筹全市毒品案件的情报工作，对涉毒线索的收集、整理以及重特大涉毒品犯罪案件汇总、分析、研判,侦办、查处公共娱乐场所吸、贩新型毒品案件；</w:t>
      </w:r>
    </w:p>
    <w:p>
      <w:pPr>
        <w:pStyle w:val="2"/>
        <w:keepNext w:val="0"/>
        <w:keepLines w:val="0"/>
        <w:pageBreakBefore w:val="0"/>
        <w:kinsoku/>
        <w:wordWrap/>
        <w:overflowPunct/>
        <w:topLinePunct w:val="0"/>
        <w:bidi w:val="0"/>
        <w:adjustRightInd/>
        <w:spacing w:line="240" w:lineRule="auto"/>
        <w:ind w:left="0" w:leftChars="0" w:right="0" w:rightChars="0"/>
        <w:jc w:val="both"/>
        <w:textAlignment w:val="auto"/>
        <w:outlineLvl w:val="9"/>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12）开展常见毒品的定性定量检测分析、120种麻醉药品和精神药品定性定量检验、易制毒化学品定性检验、制贩毒案件现场勘查工作。开展甲基苯丙胺、海洛因等毒品特征分析工作,开展毛发等生物检材中常见毒品定性检验工作,为基层办案单位开展《吸毒检测程序规定》吸毒现场检测业务知识的培训。</w:t>
      </w:r>
    </w:p>
    <w:p>
      <w:pPr>
        <w:pStyle w:val="2"/>
        <w:keepNext w:val="0"/>
        <w:keepLines w:val="0"/>
        <w:pageBreakBefore w:val="0"/>
        <w:kinsoku/>
        <w:wordWrap/>
        <w:overflowPunct/>
        <w:topLinePunct w:val="0"/>
        <w:bidi w:val="0"/>
        <w:adjustRightInd/>
        <w:spacing w:line="240" w:lineRule="auto"/>
        <w:ind w:left="0" w:leftChars="0" w:right="0" w:rightChars="0"/>
        <w:jc w:val="both"/>
        <w:textAlignment w:val="auto"/>
        <w:outlineLvl w:val="9"/>
        <w:rPr>
          <w:rFonts w:hint="eastAsia" w:eastAsia="方正仿宋_GBK" w:cs="Times New Roman"/>
          <w:sz w:val="32"/>
          <w:szCs w:val="32"/>
          <w:lang w:val="en-US" w:eastAsia="zh-CN"/>
        </w:rPr>
      </w:pPr>
      <w:r>
        <w:rPr>
          <w:rFonts w:hint="eastAsia" w:eastAsia="方正仿宋_GBK" w:cs="Times New Roman"/>
          <w:sz w:val="32"/>
          <w:szCs w:val="32"/>
          <w:lang w:val="en-US" w:eastAsia="zh-CN"/>
        </w:rPr>
        <w:t>3</w:t>
      </w:r>
      <w:r>
        <w:rPr>
          <w:rFonts w:ascii="Times New Roman" w:hAnsi="Times New Roman" w:eastAsia="方正仿宋_GBK" w:cs="Times New Roman"/>
          <w:sz w:val="32"/>
          <w:szCs w:val="32"/>
        </w:rPr>
        <w:t>、部门</w:t>
      </w:r>
      <w:r>
        <w:rPr>
          <w:rFonts w:hint="eastAsia" w:eastAsia="方正仿宋_GBK" w:cs="Times New Roman"/>
          <w:sz w:val="32"/>
          <w:szCs w:val="32"/>
          <w:lang w:val="en-US" w:eastAsia="zh-CN"/>
        </w:rPr>
        <w:t>资产情况</w:t>
      </w:r>
    </w:p>
    <w:p>
      <w:pPr>
        <w:keepNext w:val="0"/>
        <w:keepLines w:val="0"/>
        <w:pageBreakBefore w:val="0"/>
        <w:kinsoku/>
        <w:wordWrap/>
        <w:overflowPunct/>
        <w:topLinePunct w:val="0"/>
        <w:bidi w:val="0"/>
        <w:adjustRightIn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2025年末部门资产总额2,146.37万元</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其中固定资产1734.44万元、货币资金291.07万元、无形资产100.78万元</w:t>
      </w:r>
      <w:r>
        <w:rPr>
          <w:rFonts w:hint="eastAsia" w:ascii="Times New Roman" w:hAnsi="Times New Roman" w:eastAsia="方正仿宋_GBK" w:cs="Times New Roman"/>
          <w:sz w:val="32"/>
          <w:szCs w:val="32"/>
          <w:lang w:val="en-US" w:eastAsia="zh-CN"/>
        </w:rPr>
        <w:t>、其他应收款等20.08万元</w:t>
      </w:r>
      <w:r>
        <w:rPr>
          <w:rFonts w:hint="default" w:ascii="Times New Roman" w:hAnsi="Times New Roman" w:eastAsia="方正仿宋_GBK" w:cs="Times New Roman"/>
          <w:sz w:val="32"/>
          <w:szCs w:val="32"/>
          <w:lang w:val="en-US" w:eastAsia="zh-CN"/>
        </w:rPr>
        <w:t>。</w:t>
      </w:r>
    </w:p>
    <w:p>
      <w:pPr>
        <w:keepNext w:val="0"/>
        <w:keepLines w:val="0"/>
        <w:pageBreakBefore w:val="0"/>
        <w:kinsoku/>
        <w:wordWrap/>
        <w:overflowPunct/>
        <w:topLinePunct w:val="0"/>
        <w:bidi w:val="0"/>
        <w:adjustRightInd/>
        <w:spacing w:line="240" w:lineRule="auto"/>
        <w:ind w:left="0" w:leftChars="0" w:right="0" w:rightChars="0" w:firstLine="640" w:firstLineChars="200"/>
        <w:jc w:val="both"/>
        <w:textAlignment w:val="auto"/>
        <w:outlineLvl w:val="9"/>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负债总额1,016.35万元</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其中应付账款693.79万元、其他应付款321.73万元、其他应交税费0.83万元</w:t>
      </w:r>
      <w:r>
        <w:rPr>
          <w:rFonts w:hint="eastAsia" w:ascii="Times New Roman" w:hAnsi="Times New Roman" w:eastAsia="方正仿宋_GBK" w:cs="Times New Roman"/>
          <w:sz w:val="32"/>
          <w:szCs w:val="32"/>
          <w:lang w:val="en-US" w:eastAsia="zh-CN"/>
        </w:rPr>
        <w:t>。</w:t>
      </w:r>
    </w:p>
    <w:p>
      <w:pPr>
        <w:keepNext w:val="0"/>
        <w:keepLines w:val="0"/>
        <w:pageBreakBefore w:val="0"/>
        <w:kinsoku/>
        <w:wordWrap/>
        <w:overflowPunct/>
        <w:topLinePunct w:val="0"/>
        <w:bidi w:val="0"/>
        <w:adjustRightIn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净资产总额1,130.02万元。资产负债率为47.35%，较上年增长5.01个百分点，表明本部门短期负债增加，适度升高不影响整体财务正常运行。</w:t>
      </w:r>
    </w:p>
    <w:p>
      <w:pPr>
        <w:keepNext w:val="0"/>
        <w:keepLines w:val="0"/>
        <w:pageBreakBefore w:val="0"/>
        <w:kinsoku/>
        <w:wordWrap/>
        <w:overflowPunct/>
        <w:topLinePunct w:val="0"/>
        <w:bidi w:val="0"/>
        <w:adjustRightInd/>
        <w:spacing w:line="240" w:lineRule="auto"/>
        <w:ind w:left="0" w:leftChars="0" w:right="0" w:rightChars="0" w:firstLine="640" w:firstLineChars="200"/>
        <w:jc w:val="both"/>
        <w:textAlignment w:val="auto"/>
        <w:outlineLvl w:val="9"/>
        <w:rPr>
          <w:rFonts w:ascii="Times New Roman" w:hAnsi="Times New Roman" w:eastAsia="方正楷体_GBK" w:cs="Times New Roman"/>
          <w:kern w:val="0"/>
          <w:sz w:val="32"/>
          <w:szCs w:val="32"/>
        </w:rPr>
      </w:pPr>
      <w:r>
        <w:rPr>
          <w:rFonts w:ascii="Times New Roman" w:hAnsi="Times New Roman" w:eastAsia="方正楷体_GBK" w:cs="Times New Roman"/>
          <w:kern w:val="0"/>
          <w:sz w:val="32"/>
          <w:szCs w:val="32"/>
        </w:rPr>
        <w:t>（二）部门收支情况</w:t>
      </w:r>
    </w:p>
    <w:p>
      <w:pPr>
        <w:keepNext w:val="0"/>
        <w:keepLines w:val="0"/>
        <w:pageBreakBefore w:val="0"/>
        <w:kinsoku/>
        <w:wordWrap/>
        <w:overflowPunct/>
        <w:topLinePunct w:val="0"/>
        <w:bidi w:val="0"/>
        <w:adjustRightIn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1、部门总体收支情况</w:t>
      </w:r>
    </w:p>
    <w:p>
      <w:pPr>
        <w:keepNext w:val="0"/>
        <w:keepLines w:val="0"/>
        <w:pageBreakBefore w:val="0"/>
        <w:kinsoku/>
        <w:wordWrap/>
        <w:overflowPunct/>
        <w:topLinePunct w:val="0"/>
        <w:bidi w:val="0"/>
        <w:adjustRightInd/>
        <w:spacing w:line="240" w:lineRule="auto"/>
        <w:ind w:left="0" w:leftChars="0" w:right="0" w:rightChars="0" w:firstLine="640" w:firstLineChars="200"/>
        <w:jc w:val="both"/>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2025</w:t>
      </w:r>
      <w:r>
        <w:rPr>
          <w:rFonts w:ascii="Times New Roman" w:hAnsi="Times New Roman" w:eastAsia="方正仿宋_GBK" w:cs="Times New Roman"/>
          <w:sz w:val="32"/>
          <w:szCs w:val="32"/>
        </w:rPr>
        <w:t>年度</w:t>
      </w:r>
      <w:r>
        <w:rPr>
          <w:rFonts w:hint="eastAsia" w:ascii="Times New Roman" w:hAnsi="Times New Roman" w:eastAsia="方正仿宋_GBK" w:cs="Times New Roman"/>
          <w:sz w:val="32"/>
          <w:szCs w:val="32"/>
          <w:lang w:val="en-US" w:eastAsia="zh-CN"/>
        </w:rPr>
        <w:t>年初</w:t>
      </w:r>
      <w:r>
        <w:rPr>
          <w:rFonts w:ascii="Times New Roman" w:hAnsi="Times New Roman" w:eastAsia="方正仿宋_GBK" w:cs="Times New Roman"/>
          <w:sz w:val="32"/>
          <w:szCs w:val="32"/>
        </w:rPr>
        <w:t>预算数为</w:t>
      </w:r>
      <w:r>
        <w:rPr>
          <w:rFonts w:hint="eastAsia" w:ascii="Times New Roman" w:hAnsi="Times New Roman" w:eastAsia="方正仿宋_GBK" w:cs="Times New Roman"/>
          <w:sz w:val="32"/>
          <w:szCs w:val="32"/>
          <w:lang w:val="en-US" w:eastAsia="zh-CN"/>
        </w:rPr>
        <w:t>3332.86</w:t>
      </w:r>
      <w:r>
        <w:rPr>
          <w:rFonts w:ascii="Times New Roman" w:hAnsi="Times New Roman" w:eastAsia="方正仿宋_GBK" w:cs="Times New Roman"/>
          <w:sz w:val="32"/>
          <w:szCs w:val="32"/>
        </w:rPr>
        <w:t>万元，其中</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基本支出</w:t>
      </w:r>
      <w:r>
        <w:rPr>
          <w:rFonts w:hint="eastAsia" w:ascii="Times New Roman" w:hAnsi="Times New Roman" w:eastAsia="方正仿宋_GBK" w:cs="Times New Roman"/>
          <w:sz w:val="32"/>
          <w:szCs w:val="32"/>
          <w:lang w:val="en-US" w:eastAsia="zh-CN"/>
        </w:rPr>
        <w:t>2977.88</w:t>
      </w:r>
      <w:r>
        <w:rPr>
          <w:rFonts w:ascii="Times New Roman" w:hAnsi="Times New Roman" w:eastAsia="方正仿宋_GBK" w:cs="Times New Roman"/>
          <w:sz w:val="32"/>
          <w:szCs w:val="32"/>
        </w:rPr>
        <w:t>万元，项目支出</w:t>
      </w:r>
      <w:r>
        <w:rPr>
          <w:rFonts w:hint="eastAsia" w:ascii="Times New Roman" w:hAnsi="Times New Roman" w:eastAsia="方正仿宋_GBK" w:cs="Times New Roman"/>
          <w:sz w:val="32"/>
          <w:szCs w:val="32"/>
          <w:lang w:val="en-US" w:eastAsia="zh-CN"/>
        </w:rPr>
        <w:t>354.98</w:t>
      </w:r>
      <w:r>
        <w:rPr>
          <w:rFonts w:ascii="Times New Roman" w:hAnsi="Times New Roman" w:eastAsia="方正仿宋_GBK" w:cs="Times New Roman"/>
          <w:sz w:val="32"/>
          <w:szCs w:val="32"/>
        </w:rPr>
        <w:t>万元。</w:t>
      </w:r>
      <w:r>
        <w:rPr>
          <w:rFonts w:hint="eastAsia" w:ascii="Times New Roman" w:hAnsi="Times New Roman" w:eastAsia="方正仿宋_GBK" w:cs="Times New Roman"/>
          <w:sz w:val="32"/>
          <w:szCs w:val="32"/>
          <w:lang w:eastAsia="zh-CN"/>
        </w:rPr>
        <w:t>2025</w:t>
      </w:r>
      <w:r>
        <w:rPr>
          <w:rFonts w:ascii="Times New Roman" w:hAnsi="Times New Roman" w:eastAsia="方正仿宋_GBK" w:cs="Times New Roman"/>
          <w:sz w:val="32"/>
          <w:szCs w:val="32"/>
        </w:rPr>
        <w:t>年度</w:t>
      </w:r>
      <w:r>
        <w:rPr>
          <w:rFonts w:hint="eastAsia" w:ascii="Times New Roman" w:hAnsi="Times New Roman" w:eastAsia="方正仿宋_GBK" w:cs="Times New Roman"/>
          <w:sz w:val="32"/>
          <w:szCs w:val="32"/>
          <w:lang w:val="en-US" w:eastAsia="zh-CN"/>
        </w:rPr>
        <w:t>调整预算</w:t>
      </w:r>
      <w:r>
        <w:rPr>
          <w:rFonts w:ascii="Times New Roman" w:hAnsi="Times New Roman" w:eastAsia="方正仿宋_GBK" w:cs="Times New Roman"/>
          <w:sz w:val="32"/>
          <w:szCs w:val="32"/>
        </w:rPr>
        <w:t>总收入</w:t>
      </w:r>
      <w:r>
        <w:rPr>
          <w:rFonts w:hint="eastAsia" w:ascii="Times New Roman" w:hAnsi="Times New Roman" w:eastAsia="方正仿宋_GBK" w:cs="Times New Roman"/>
          <w:sz w:val="32"/>
          <w:szCs w:val="32"/>
          <w:lang w:val="en-US" w:eastAsia="zh-CN"/>
        </w:rPr>
        <w:t>3812.06</w:t>
      </w:r>
      <w:r>
        <w:rPr>
          <w:rFonts w:ascii="Times New Roman" w:hAnsi="Times New Roman" w:eastAsia="方正仿宋_GBK" w:cs="Times New Roman"/>
          <w:sz w:val="32"/>
          <w:szCs w:val="32"/>
        </w:rPr>
        <w:t>万元，其中</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基本支出</w:t>
      </w:r>
      <w:r>
        <w:rPr>
          <w:rFonts w:hint="eastAsia" w:ascii="Times New Roman" w:hAnsi="Times New Roman" w:eastAsia="方正仿宋_GBK" w:cs="Times New Roman"/>
          <w:sz w:val="32"/>
          <w:szCs w:val="32"/>
          <w:lang w:val="en-US" w:eastAsia="zh-CN"/>
        </w:rPr>
        <w:t>3141.59</w:t>
      </w:r>
      <w:r>
        <w:rPr>
          <w:rFonts w:ascii="Times New Roman" w:hAnsi="Times New Roman" w:eastAsia="方正仿宋_GBK" w:cs="Times New Roman"/>
          <w:sz w:val="32"/>
          <w:szCs w:val="32"/>
        </w:rPr>
        <w:t>万元，项目支出</w:t>
      </w:r>
      <w:r>
        <w:rPr>
          <w:rFonts w:hint="eastAsia" w:ascii="Times New Roman" w:hAnsi="Times New Roman" w:eastAsia="方正仿宋_GBK" w:cs="Times New Roman"/>
          <w:sz w:val="32"/>
          <w:szCs w:val="32"/>
          <w:lang w:val="en-US" w:eastAsia="zh-CN"/>
        </w:rPr>
        <w:t>670.47</w:t>
      </w:r>
      <w:r>
        <w:rPr>
          <w:rFonts w:ascii="Times New Roman" w:hAnsi="Times New Roman" w:eastAsia="方正仿宋_GBK" w:cs="Times New Roman"/>
          <w:sz w:val="32"/>
          <w:szCs w:val="32"/>
        </w:rPr>
        <w:t>万元。</w:t>
      </w:r>
      <w:r>
        <w:rPr>
          <w:rFonts w:hint="eastAsia" w:ascii="Times New Roman" w:hAnsi="Times New Roman" w:eastAsia="方正仿宋_GBK" w:cs="Times New Roman"/>
          <w:sz w:val="32"/>
          <w:szCs w:val="32"/>
          <w:lang w:val="en-US" w:eastAsia="zh-CN"/>
        </w:rPr>
        <w:t>较年初预算数增加479.2万元，</w:t>
      </w:r>
      <w:r>
        <w:rPr>
          <w:rFonts w:hint="eastAsia" w:ascii="Times New Roman" w:hAnsi="Times New Roman" w:eastAsia="方正仿宋_GBK" w:cs="Times New Roman"/>
          <w:kern w:val="2"/>
          <w:sz w:val="32"/>
          <w:szCs w:val="32"/>
          <w:lang w:val="zh-CN" w:eastAsia="zh-CN" w:bidi="ar-SA"/>
        </w:rPr>
        <w:t>调</w:t>
      </w:r>
      <w:r>
        <w:rPr>
          <w:rFonts w:hint="eastAsia" w:ascii="Times New Roman" w:hAnsi="Times New Roman" w:eastAsia="方正仿宋_GBK" w:cs="Times New Roman"/>
          <w:kern w:val="2"/>
          <w:sz w:val="32"/>
          <w:szCs w:val="32"/>
          <w:lang w:val="en-US" w:eastAsia="zh-CN" w:bidi="ar-SA"/>
        </w:rPr>
        <w:t>增</w:t>
      </w:r>
      <w:r>
        <w:rPr>
          <w:rFonts w:hint="eastAsia" w:ascii="Times New Roman" w:hAnsi="Times New Roman" w:eastAsia="方正仿宋_GBK" w:cs="Times New Roman"/>
          <w:kern w:val="2"/>
          <w:sz w:val="32"/>
          <w:szCs w:val="32"/>
          <w:lang w:val="zh-CN" w:eastAsia="zh-CN" w:bidi="ar-SA"/>
        </w:rPr>
        <w:t>的主要原因是基本支出增人增资、年中追加项目经费。</w:t>
      </w:r>
    </w:p>
    <w:p>
      <w:pPr>
        <w:keepNext w:val="0"/>
        <w:keepLines w:val="0"/>
        <w:pageBreakBefore w:val="0"/>
        <w:kinsoku/>
        <w:wordWrap/>
        <w:overflowPunct/>
        <w:topLinePunct w:val="0"/>
        <w:bidi w:val="0"/>
        <w:adjustRightInd/>
        <w:spacing w:line="240" w:lineRule="auto"/>
        <w:ind w:left="0" w:leftChars="0" w:right="0" w:rightChars="0" w:firstLine="640" w:firstLineChars="200"/>
        <w:jc w:val="both"/>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eastAsia="zh-CN"/>
        </w:rPr>
        <w:t>2025</w:t>
      </w:r>
      <w:r>
        <w:rPr>
          <w:rFonts w:ascii="Times New Roman" w:hAnsi="Times New Roman" w:eastAsia="方正仿宋_GBK" w:cs="Times New Roman"/>
          <w:sz w:val="32"/>
          <w:szCs w:val="32"/>
        </w:rPr>
        <w:t>年度部门决算总支出</w:t>
      </w:r>
      <w:r>
        <w:rPr>
          <w:rFonts w:hint="eastAsia" w:ascii="Times New Roman" w:hAnsi="Times New Roman" w:eastAsia="方正仿宋_GBK" w:cs="Times New Roman"/>
          <w:sz w:val="32"/>
          <w:szCs w:val="32"/>
          <w:lang w:val="en-US" w:eastAsia="zh-CN"/>
        </w:rPr>
        <w:t>3812.06</w:t>
      </w:r>
      <w:r>
        <w:rPr>
          <w:rFonts w:ascii="Times New Roman" w:hAnsi="Times New Roman" w:eastAsia="方正仿宋_GBK" w:cs="Times New Roman"/>
          <w:sz w:val="32"/>
          <w:szCs w:val="32"/>
        </w:rPr>
        <w:t>万元，其中</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基本支出</w:t>
      </w:r>
      <w:r>
        <w:rPr>
          <w:rFonts w:hint="eastAsia" w:ascii="Times New Roman" w:hAnsi="Times New Roman" w:eastAsia="方正仿宋_GBK" w:cs="Times New Roman"/>
          <w:sz w:val="32"/>
          <w:szCs w:val="32"/>
          <w:lang w:val="en-US" w:eastAsia="zh-CN"/>
        </w:rPr>
        <w:t>3141.59</w:t>
      </w:r>
      <w:r>
        <w:rPr>
          <w:rFonts w:ascii="Times New Roman" w:hAnsi="Times New Roman" w:eastAsia="方正仿宋_GBK" w:cs="Times New Roman"/>
          <w:sz w:val="32"/>
          <w:szCs w:val="32"/>
        </w:rPr>
        <w:t>万元，项目支出</w:t>
      </w:r>
      <w:r>
        <w:rPr>
          <w:rFonts w:hint="eastAsia" w:ascii="Times New Roman" w:hAnsi="Times New Roman" w:eastAsia="方正仿宋_GBK" w:cs="Times New Roman"/>
          <w:sz w:val="32"/>
          <w:szCs w:val="32"/>
          <w:lang w:val="en-US" w:eastAsia="zh-CN"/>
        </w:rPr>
        <w:t>670.47</w:t>
      </w:r>
      <w:r>
        <w:rPr>
          <w:rFonts w:ascii="Times New Roman" w:hAnsi="Times New Roman" w:eastAsia="方正仿宋_GBK" w:cs="Times New Roman"/>
          <w:sz w:val="32"/>
          <w:szCs w:val="32"/>
        </w:rPr>
        <w:t>万元。</w:t>
      </w:r>
      <w:r>
        <w:rPr>
          <w:rFonts w:hint="eastAsia" w:ascii="Times New Roman" w:hAnsi="Times New Roman" w:eastAsia="方正仿宋_GBK" w:cs="Times New Roman"/>
          <w:sz w:val="32"/>
          <w:szCs w:val="32"/>
          <w:lang w:val="en-US" w:eastAsia="zh-CN"/>
        </w:rPr>
        <w:t>预算执行率为100%。</w:t>
      </w:r>
    </w:p>
    <w:p>
      <w:pPr>
        <w:pStyle w:val="2"/>
        <w:keepNext w:val="0"/>
        <w:keepLines w:val="0"/>
        <w:pageBreakBefore w:val="0"/>
        <w:kinsoku/>
        <w:wordWrap/>
        <w:overflowPunct/>
        <w:topLinePunct w:val="0"/>
        <w:bidi w:val="0"/>
        <w:adjustRightInd/>
        <w:spacing w:line="240" w:lineRule="auto"/>
        <w:ind w:left="0" w:leftChars="0" w:right="0" w:rightChars="0" w:firstLine="0" w:firstLineChars="0"/>
        <w:jc w:val="both"/>
        <w:textAlignment w:val="auto"/>
        <w:outlineLvl w:val="9"/>
        <w:rPr>
          <w:rFonts w:hint="eastAsia" w:eastAsia="方正仿宋_GBK" w:cs="Times New Roman"/>
          <w:sz w:val="32"/>
          <w:szCs w:val="32"/>
          <w:lang w:val="en-US" w:eastAsia="zh-CN"/>
        </w:rPr>
      </w:pPr>
      <w:r>
        <w:rPr>
          <w:rFonts w:hint="eastAsia" w:eastAsia="方正仿宋_GBK" w:cs="Times New Roman"/>
          <w:sz w:val="32"/>
          <w:szCs w:val="32"/>
          <w:lang w:val="en-US" w:eastAsia="zh-CN"/>
        </w:rPr>
        <w:t>详见表1。</w:t>
      </w:r>
    </w:p>
    <w:p>
      <w:pPr>
        <w:rPr>
          <w:rFonts w:hint="default"/>
          <w:lang w:val="en-US" w:eastAsia="zh-CN"/>
        </w:rPr>
      </w:pPr>
    </w:p>
    <w:p>
      <w:pPr>
        <w:rPr>
          <w:rFonts w:hint="eastAsia"/>
          <w:lang w:val="en-US" w:eastAsia="zh-CN"/>
        </w:rPr>
      </w:pPr>
    </w:p>
    <w:tbl>
      <w:tblPr>
        <w:tblStyle w:val="11"/>
        <w:tblW w:w="8220" w:type="dxa"/>
        <w:tblInd w:w="0" w:type="dxa"/>
        <w:shd w:val="clear" w:color="auto" w:fill="auto"/>
        <w:tblLayout w:type="fixed"/>
        <w:tblCellMar>
          <w:top w:w="0" w:type="dxa"/>
          <w:left w:w="0" w:type="dxa"/>
          <w:bottom w:w="0" w:type="dxa"/>
          <w:right w:w="0" w:type="dxa"/>
        </w:tblCellMar>
      </w:tblPr>
      <w:tblGrid>
        <w:gridCol w:w="1644"/>
        <w:gridCol w:w="1644"/>
        <w:gridCol w:w="1644"/>
        <w:gridCol w:w="1644"/>
        <w:gridCol w:w="1644"/>
      </w:tblGrid>
      <w:tr>
        <w:tblPrEx>
          <w:shd w:val="clear" w:color="auto" w:fill="auto"/>
          <w:tblLayout w:type="fixed"/>
          <w:tblCellMar>
            <w:top w:w="0" w:type="dxa"/>
            <w:left w:w="0" w:type="dxa"/>
            <w:bottom w:w="0" w:type="dxa"/>
            <w:right w:w="0" w:type="dxa"/>
          </w:tblCellMar>
        </w:tblPrEx>
        <w:trPr>
          <w:trHeight w:val="332" w:hRule="atLeast"/>
        </w:trPr>
        <w:tc>
          <w:tcPr>
            <w:tcW w:w="1644"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表1</w:t>
            </w:r>
          </w:p>
        </w:tc>
        <w:tc>
          <w:tcPr>
            <w:tcW w:w="1644"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44"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44"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44"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50" w:hRule="atLeast"/>
        </w:trPr>
        <w:tc>
          <w:tcPr>
            <w:tcW w:w="8220" w:type="dxa"/>
            <w:gridSpan w:val="5"/>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楷体" w:hAnsi="楷体" w:eastAsia="楷体" w:cs="楷体"/>
                <w:i w:val="0"/>
                <w:color w:val="000000"/>
                <w:sz w:val="36"/>
                <w:szCs w:val="36"/>
                <w:u w:val="none"/>
              </w:rPr>
            </w:pPr>
            <w:r>
              <w:rPr>
                <w:rFonts w:hint="eastAsia" w:ascii="楷体" w:hAnsi="楷体" w:eastAsia="楷体" w:cs="楷体"/>
                <w:i w:val="0"/>
                <w:color w:val="000000"/>
                <w:kern w:val="0"/>
                <w:sz w:val="36"/>
                <w:szCs w:val="36"/>
                <w:u w:val="none"/>
                <w:lang w:val="en-US" w:eastAsia="zh-CN" w:bidi="ar"/>
              </w:rPr>
              <w:t>2025年部门预算安排与支出同比情况</w:t>
            </w:r>
          </w:p>
        </w:tc>
      </w:tr>
      <w:tr>
        <w:tblPrEx>
          <w:tblLayout w:type="fixed"/>
          <w:tblCellMar>
            <w:top w:w="0" w:type="dxa"/>
            <w:left w:w="0" w:type="dxa"/>
            <w:bottom w:w="0" w:type="dxa"/>
            <w:right w:w="0" w:type="dxa"/>
          </w:tblCellMar>
        </w:tblPrEx>
        <w:trPr>
          <w:trHeight w:val="483" w:hRule="atLeast"/>
        </w:trPr>
        <w:tc>
          <w:tcPr>
            <w:tcW w:w="1644" w:type="dxa"/>
            <w:tcBorders>
              <w:top w:val="nil"/>
              <w:left w:val="nil"/>
              <w:bottom w:val="nil"/>
              <w:right w:val="nil"/>
            </w:tcBorders>
            <w:shd w:val="clear" w:color="auto" w:fill="auto"/>
            <w:tcMar>
              <w:top w:w="15" w:type="dxa"/>
              <w:left w:w="15" w:type="dxa"/>
              <w:right w:w="15" w:type="dxa"/>
            </w:tcMar>
            <w:vAlign w:val="center"/>
          </w:tcPr>
          <w:p>
            <w:pPr>
              <w:rPr>
                <w:rFonts w:hint="eastAsia" w:ascii="楷体" w:hAnsi="楷体" w:eastAsia="楷体" w:cs="楷体"/>
                <w:i w:val="0"/>
                <w:color w:val="000000"/>
                <w:sz w:val="22"/>
                <w:szCs w:val="22"/>
                <w:u w:val="none"/>
              </w:rPr>
            </w:pPr>
          </w:p>
        </w:tc>
        <w:tc>
          <w:tcPr>
            <w:tcW w:w="1644" w:type="dxa"/>
            <w:tcBorders>
              <w:top w:val="nil"/>
              <w:left w:val="nil"/>
              <w:bottom w:val="nil"/>
              <w:right w:val="nil"/>
            </w:tcBorders>
            <w:shd w:val="clear" w:color="auto" w:fill="auto"/>
            <w:tcMar>
              <w:top w:w="15" w:type="dxa"/>
              <w:left w:w="15" w:type="dxa"/>
              <w:right w:w="15" w:type="dxa"/>
            </w:tcMar>
            <w:vAlign w:val="center"/>
          </w:tcPr>
          <w:p>
            <w:pPr>
              <w:rPr>
                <w:rFonts w:hint="eastAsia" w:ascii="楷体" w:hAnsi="楷体" w:eastAsia="楷体" w:cs="楷体"/>
                <w:i w:val="0"/>
                <w:color w:val="000000"/>
                <w:sz w:val="22"/>
                <w:szCs w:val="22"/>
                <w:u w:val="none"/>
              </w:rPr>
            </w:pPr>
          </w:p>
        </w:tc>
        <w:tc>
          <w:tcPr>
            <w:tcW w:w="1644" w:type="dxa"/>
            <w:tcBorders>
              <w:top w:val="nil"/>
              <w:left w:val="nil"/>
              <w:bottom w:val="nil"/>
              <w:right w:val="nil"/>
            </w:tcBorders>
            <w:shd w:val="clear" w:color="auto" w:fill="auto"/>
            <w:tcMar>
              <w:top w:w="15" w:type="dxa"/>
              <w:left w:w="15" w:type="dxa"/>
              <w:right w:w="15" w:type="dxa"/>
            </w:tcMar>
            <w:vAlign w:val="center"/>
          </w:tcPr>
          <w:p>
            <w:pPr>
              <w:rPr>
                <w:rFonts w:hint="eastAsia" w:ascii="楷体" w:hAnsi="楷体" w:eastAsia="楷体" w:cs="楷体"/>
                <w:i w:val="0"/>
                <w:color w:val="000000"/>
                <w:sz w:val="22"/>
                <w:szCs w:val="22"/>
                <w:u w:val="none"/>
              </w:rPr>
            </w:pPr>
          </w:p>
        </w:tc>
        <w:tc>
          <w:tcPr>
            <w:tcW w:w="1644" w:type="dxa"/>
            <w:tcBorders>
              <w:top w:val="nil"/>
              <w:left w:val="nil"/>
              <w:bottom w:val="nil"/>
              <w:right w:val="nil"/>
            </w:tcBorders>
            <w:shd w:val="clear" w:color="auto" w:fill="auto"/>
            <w:tcMar>
              <w:top w:w="15" w:type="dxa"/>
              <w:left w:w="15" w:type="dxa"/>
              <w:right w:w="15" w:type="dxa"/>
            </w:tcMar>
            <w:vAlign w:val="center"/>
          </w:tcPr>
          <w:p>
            <w:pPr>
              <w:rPr>
                <w:rFonts w:hint="eastAsia" w:ascii="楷体" w:hAnsi="楷体" w:eastAsia="楷体" w:cs="楷体"/>
                <w:i w:val="0"/>
                <w:color w:val="000000"/>
                <w:sz w:val="22"/>
                <w:szCs w:val="22"/>
                <w:u w:val="none"/>
              </w:rPr>
            </w:pPr>
          </w:p>
        </w:tc>
        <w:tc>
          <w:tcPr>
            <w:tcW w:w="1644"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楷体" w:hAnsi="楷体" w:eastAsia="楷体" w:cs="楷体"/>
                <w:i w:val="0"/>
                <w:color w:val="000000"/>
                <w:sz w:val="20"/>
                <w:szCs w:val="20"/>
                <w:u w:val="none"/>
              </w:rPr>
            </w:pPr>
            <w:r>
              <w:rPr>
                <w:rFonts w:hint="eastAsia" w:ascii="楷体" w:hAnsi="楷体" w:eastAsia="楷体" w:cs="楷体"/>
                <w:i w:val="0"/>
                <w:color w:val="000000"/>
                <w:kern w:val="0"/>
                <w:sz w:val="20"/>
                <w:szCs w:val="20"/>
                <w:u w:val="none"/>
                <w:lang w:val="en-US" w:eastAsia="zh-CN" w:bidi="ar"/>
              </w:rPr>
              <w:t>单位：万元</w:t>
            </w:r>
          </w:p>
        </w:tc>
      </w:tr>
      <w:tr>
        <w:tblPrEx>
          <w:tblLayout w:type="fixed"/>
          <w:tblCellMar>
            <w:top w:w="0" w:type="dxa"/>
            <w:left w:w="0" w:type="dxa"/>
            <w:bottom w:w="0" w:type="dxa"/>
            <w:right w:w="0" w:type="dxa"/>
          </w:tblCellMar>
        </w:tblPrEx>
        <w:trPr>
          <w:trHeight w:val="493" w:hRule="atLeast"/>
        </w:trPr>
        <w:tc>
          <w:tcPr>
            <w:tcW w:w="1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支出类别</w:t>
            </w:r>
          </w:p>
        </w:tc>
        <w:tc>
          <w:tcPr>
            <w:tcW w:w="1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年初预算数</w:t>
            </w:r>
          </w:p>
        </w:tc>
        <w:tc>
          <w:tcPr>
            <w:tcW w:w="1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调整后预算数</w:t>
            </w:r>
          </w:p>
        </w:tc>
        <w:tc>
          <w:tcPr>
            <w:tcW w:w="1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实际支出数</w:t>
            </w:r>
          </w:p>
        </w:tc>
        <w:tc>
          <w:tcPr>
            <w:tcW w:w="1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预算执行率</w:t>
            </w:r>
          </w:p>
        </w:tc>
      </w:tr>
      <w:tr>
        <w:tblPrEx>
          <w:tblLayout w:type="fixed"/>
          <w:tblCellMar>
            <w:top w:w="0" w:type="dxa"/>
            <w:left w:w="0" w:type="dxa"/>
            <w:bottom w:w="0" w:type="dxa"/>
            <w:right w:w="0" w:type="dxa"/>
          </w:tblCellMar>
        </w:tblPrEx>
        <w:trPr>
          <w:trHeight w:val="493" w:hRule="atLeast"/>
        </w:trPr>
        <w:tc>
          <w:tcPr>
            <w:tcW w:w="1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楷体" w:hAnsi="楷体" w:eastAsia="楷体" w:cs="楷体"/>
                <w:i w:val="0"/>
                <w:color w:val="000000"/>
                <w:sz w:val="22"/>
                <w:szCs w:val="22"/>
                <w:u w:val="none"/>
              </w:rPr>
            </w:pPr>
            <w:r>
              <w:rPr>
                <w:rFonts w:hint="eastAsia" w:ascii="楷体" w:hAnsi="楷体" w:eastAsia="楷体" w:cs="楷体"/>
                <w:i w:val="0"/>
                <w:color w:val="000000"/>
                <w:kern w:val="0"/>
                <w:sz w:val="22"/>
                <w:szCs w:val="22"/>
                <w:u w:val="none"/>
                <w:lang w:val="en-US" w:eastAsia="zh-CN" w:bidi="ar"/>
              </w:rPr>
              <w:t>基本支出</w:t>
            </w:r>
          </w:p>
        </w:tc>
        <w:tc>
          <w:tcPr>
            <w:tcW w:w="1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楷体" w:hAnsi="楷体" w:eastAsia="楷体" w:cs="楷体"/>
                <w:i w:val="0"/>
                <w:color w:val="000000"/>
                <w:sz w:val="22"/>
                <w:szCs w:val="22"/>
                <w:u w:val="none"/>
              </w:rPr>
            </w:pPr>
            <w:r>
              <w:rPr>
                <w:rFonts w:hint="eastAsia" w:ascii="楷体" w:hAnsi="楷体" w:eastAsia="楷体" w:cs="楷体"/>
                <w:i w:val="0"/>
                <w:color w:val="000000"/>
                <w:kern w:val="0"/>
                <w:sz w:val="22"/>
                <w:szCs w:val="22"/>
                <w:u w:val="none"/>
                <w:lang w:val="en-US" w:eastAsia="zh-CN" w:bidi="ar"/>
              </w:rPr>
              <w:t xml:space="preserve">2977.88 </w:t>
            </w:r>
          </w:p>
        </w:tc>
        <w:tc>
          <w:tcPr>
            <w:tcW w:w="1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楷体" w:hAnsi="楷体" w:eastAsia="楷体" w:cs="楷体"/>
                <w:i w:val="0"/>
                <w:color w:val="000000"/>
                <w:sz w:val="22"/>
                <w:szCs w:val="22"/>
                <w:u w:val="none"/>
              </w:rPr>
            </w:pPr>
            <w:r>
              <w:rPr>
                <w:rFonts w:hint="eastAsia" w:ascii="楷体" w:hAnsi="楷体" w:eastAsia="楷体" w:cs="楷体"/>
                <w:i w:val="0"/>
                <w:color w:val="000000"/>
                <w:kern w:val="0"/>
                <w:sz w:val="22"/>
                <w:szCs w:val="22"/>
                <w:u w:val="none"/>
                <w:lang w:val="en-US" w:eastAsia="zh-CN" w:bidi="ar"/>
              </w:rPr>
              <w:t xml:space="preserve">3141.59 </w:t>
            </w:r>
          </w:p>
        </w:tc>
        <w:tc>
          <w:tcPr>
            <w:tcW w:w="1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楷体" w:hAnsi="楷体" w:eastAsia="楷体" w:cs="楷体"/>
                <w:i w:val="0"/>
                <w:color w:val="000000"/>
                <w:sz w:val="22"/>
                <w:szCs w:val="22"/>
                <w:u w:val="none"/>
              </w:rPr>
            </w:pPr>
            <w:r>
              <w:rPr>
                <w:rFonts w:hint="eastAsia" w:ascii="楷体" w:hAnsi="楷体" w:eastAsia="楷体" w:cs="楷体"/>
                <w:i w:val="0"/>
                <w:color w:val="000000"/>
                <w:kern w:val="0"/>
                <w:sz w:val="22"/>
                <w:szCs w:val="22"/>
                <w:u w:val="none"/>
                <w:lang w:val="en-US" w:eastAsia="zh-CN" w:bidi="ar"/>
              </w:rPr>
              <w:t xml:space="preserve">3141.59 </w:t>
            </w:r>
          </w:p>
        </w:tc>
        <w:tc>
          <w:tcPr>
            <w:tcW w:w="1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楷体" w:hAnsi="楷体" w:eastAsia="楷体" w:cs="楷体"/>
                <w:i w:val="0"/>
                <w:color w:val="000000"/>
                <w:sz w:val="22"/>
                <w:szCs w:val="22"/>
                <w:u w:val="none"/>
              </w:rPr>
            </w:pPr>
            <w:r>
              <w:rPr>
                <w:rFonts w:hint="eastAsia" w:ascii="楷体" w:hAnsi="楷体" w:eastAsia="楷体" w:cs="楷体"/>
                <w:i w:val="0"/>
                <w:color w:val="000000"/>
                <w:kern w:val="0"/>
                <w:sz w:val="22"/>
                <w:szCs w:val="22"/>
                <w:u w:val="none"/>
                <w:lang w:val="en-US" w:eastAsia="zh-CN" w:bidi="ar"/>
              </w:rPr>
              <w:t>100%</w:t>
            </w:r>
          </w:p>
        </w:tc>
      </w:tr>
      <w:tr>
        <w:tblPrEx>
          <w:tblLayout w:type="fixed"/>
          <w:tblCellMar>
            <w:top w:w="0" w:type="dxa"/>
            <w:left w:w="0" w:type="dxa"/>
            <w:bottom w:w="0" w:type="dxa"/>
            <w:right w:w="0" w:type="dxa"/>
          </w:tblCellMar>
        </w:tblPrEx>
        <w:trPr>
          <w:trHeight w:val="493" w:hRule="atLeast"/>
        </w:trPr>
        <w:tc>
          <w:tcPr>
            <w:tcW w:w="1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楷体" w:hAnsi="楷体" w:eastAsia="楷体" w:cs="楷体"/>
                <w:i w:val="0"/>
                <w:color w:val="000000"/>
                <w:sz w:val="22"/>
                <w:szCs w:val="22"/>
                <w:u w:val="none"/>
              </w:rPr>
            </w:pPr>
            <w:r>
              <w:rPr>
                <w:rFonts w:hint="eastAsia" w:ascii="楷体" w:hAnsi="楷体" w:eastAsia="楷体" w:cs="楷体"/>
                <w:i w:val="0"/>
                <w:color w:val="000000"/>
                <w:kern w:val="0"/>
                <w:sz w:val="22"/>
                <w:szCs w:val="22"/>
                <w:u w:val="none"/>
                <w:lang w:val="en-US" w:eastAsia="zh-CN" w:bidi="ar"/>
              </w:rPr>
              <w:t>项目支出</w:t>
            </w:r>
          </w:p>
        </w:tc>
        <w:tc>
          <w:tcPr>
            <w:tcW w:w="1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楷体" w:hAnsi="楷体" w:eastAsia="楷体" w:cs="楷体"/>
                <w:i w:val="0"/>
                <w:color w:val="000000"/>
                <w:sz w:val="22"/>
                <w:szCs w:val="22"/>
                <w:u w:val="none"/>
              </w:rPr>
            </w:pPr>
            <w:r>
              <w:rPr>
                <w:rFonts w:hint="eastAsia" w:ascii="楷体" w:hAnsi="楷体" w:eastAsia="楷体" w:cs="楷体"/>
                <w:i w:val="0"/>
                <w:color w:val="000000"/>
                <w:kern w:val="0"/>
                <w:sz w:val="22"/>
                <w:szCs w:val="22"/>
                <w:u w:val="none"/>
                <w:lang w:val="en-US" w:eastAsia="zh-CN" w:bidi="ar"/>
              </w:rPr>
              <w:t xml:space="preserve">354.98 </w:t>
            </w:r>
          </w:p>
        </w:tc>
        <w:tc>
          <w:tcPr>
            <w:tcW w:w="1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楷体" w:hAnsi="楷体" w:eastAsia="楷体" w:cs="楷体"/>
                <w:i w:val="0"/>
                <w:color w:val="000000"/>
                <w:sz w:val="22"/>
                <w:szCs w:val="22"/>
                <w:u w:val="none"/>
              </w:rPr>
            </w:pPr>
            <w:r>
              <w:rPr>
                <w:rFonts w:hint="eastAsia" w:ascii="楷体" w:hAnsi="楷体" w:eastAsia="楷体" w:cs="楷体"/>
                <w:i w:val="0"/>
                <w:color w:val="000000"/>
                <w:kern w:val="0"/>
                <w:sz w:val="22"/>
                <w:szCs w:val="22"/>
                <w:u w:val="none"/>
                <w:lang w:val="en-US" w:eastAsia="zh-CN" w:bidi="ar"/>
              </w:rPr>
              <w:t xml:space="preserve">670.47 </w:t>
            </w:r>
          </w:p>
        </w:tc>
        <w:tc>
          <w:tcPr>
            <w:tcW w:w="1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楷体" w:hAnsi="楷体" w:eastAsia="楷体" w:cs="楷体"/>
                <w:i w:val="0"/>
                <w:color w:val="000000"/>
                <w:sz w:val="22"/>
                <w:szCs w:val="22"/>
                <w:u w:val="none"/>
              </w:rPr>
            </w:pPr>
            <w:r>
              <w:rPr>
                <w:rFonts w:hint="eastAsia" w:ascii="楷体" w:hAnsi="楷体" w:eastAsia="楷体" w:cs="楷体"/>
                <w:i w:val="0"/>
                <w:color w:val="000000"/>
                <w:kern w:val="0"/>
                <w:sz w:val="22"/>
                <w:szCs w:val="22"/>
                <w:u w:val="none"/>
                <w:lang w:val="en-US" w:eastAsia="zh-CN" w:bidi="ar"/>
              </w:rPr>
              <w:t xml:space="preserve">670.47 </w:t>
            </w:r>
          </w:p>
        </w:tc>
        <w:tc>
          <w:tcPr>
            <w:tcW w:w="1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楷体" w:hAnsi="楷体" w:eastAsia="楷体" w:cs="楷体"/>
                <w:i w:val="0"/>
                <w:color w:val="000000"/>
                <w:sz w:val="22"/>
                <w:szCs w:val="22"/>
                <w:u w:val="none"/>
              </w:rPr>
            </w:pPr>
            <w:r>
              <w:rPr>
                <w:rFonts w:hint="eastAsia" w:ascii="楷体" w:hAnsi="楷体" w:eastAsia="楷体" w:cs="楷体"/>
                <w:i w:val="0"/>
                <w:color w:val="000000"/>
                <w:kern w:val="0"/>
                <w:sz w:val="22"/>
                <w:szCs w:val="22"/>
                <w:u w:val="none"/>
                <w:lang w:val="en-US" w:eastAsia="zh-CN" w:bidi="ar"/>
              </w:rPr>
              <w:t>100%</w:t>
            </w:r>
          </w:p>
        </w:tc>
      </w:tr>
      <w:tr>
        <w:tblPrEx>
          <w:tblLayout w:type="fixed"/>
          <w:tblCellMar>
            <w:top w:w="0" w:type="dxa"/>
            <w:left w:w="0" w:type="dxa"/>
            <w:bottom w:w="0" w:type="dxa"/>
            <w:right w:w="0" w:type="dxa"/>
          </w:tblCellMar>
        </w:tblPrEx>
        <w:trPr>
          <w:trHeight w:val="503" w:hRule="atLeast"/>
        </w:trPr>
        <w:tc>
          <w:tcPr>
            <w:tcW w:w="1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楷体" w:hAnsi="楷体" w:eastAsia="楷体" w:cs="楷体"/>
                <w:i w:val="0"/>
                <w:color w:val="000000"/>
                <w:sz w:val="22"/>
                <w:szCs w:val="22"/>
                <w:u w:val="none"/>
              </w:rPr>
            </w:pPr>
            <w:r>
              <w:rPr>
                <w:rFonts w:hint="eastAsia" w:ascii="楷体" w:hAnsi="楷体" w:eastAsia="楷体" w:cs="楷体"/>
                <w:i w:val="0"/>
                <w:color w:val="000000"/>
                <w:kern w:val="0"/>
                <w:sz w:val="22"/>
                <w:szCs w:val="22"/>
                <w:u w:val="none"/>
                <w:lang w:val="en-US" w:eastAsia="zh-CN" w:bidi="ar"/>
              </w:rPr>
              <w:t>合计</w:t>
            </w:r>
          </w:p>
        </w:tc>
        <w:tc>
          <w:tcPr>
            <w:tcW w:w="1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楷体" w:hAnsi="楷体" w:eastAsia="楷体" w:cs="楷体"/>
                <w:i w:val="0"/>
                <w:color w:val="000000"/>
                <w:sz w:val="22"/>
                <w:szCs w:val="22"/>
                <w:u w:val="none"/>
              </w:rPr>
            </w:pPr>
            <w:r>
              <w:rPr>
                <w:rFonts w:hint="eastAsia" w:ascii="楷体" w:hAnsi="楷体" w:eastAsia="楷体" w:cs="楷体"/>
                <w:i w:val="0"/>
                <w:color w:val="000000"/>
                <w:kern w:val="0"/>
                <w:sz w:val="22"/>
                <w:szCs w:val="22"/>
                <w:u w:val="none"/>
                <w:lang w:val="en-US" w:eastAsia="zh-CN" w:bidi="ar"/>
              </w:rPr>
              <w:t xml:space="preserve">3332.86 </w:t>
            </w:r>
          </w:p>
        </w:tc>
        <w:tc>
          <w:tcPr>
            <w:tcW w:w="1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楷体" w:hAnsi="楷体" w:eastAsia="楷体" w:cs="楷体"/>
                <w:i w:val="0"/>
                <w:color w:val="000000"/>
                <w:sz w:val="22"/>
                <w:szCs w:val="22"/>
                <w:u w:val="none"/>
              </w:rPr>
            </w:pPr>
            <w:r>
              <w:rPr>
                <w:rFonts w:hint="eastAsia" w:ascii="楷体" w:hAnsi="楷体" w:eastAsia="楷体" w:cs="楷体"/>
                <w:i w:val="0"/>
                <w:color w:val="000000"/>
                <w:kern w:val="0"/>
                <w:sz w:val="22"/>
                <w:szCs w:val="22"/>
                <w:u w:val="none"/>
                <w:lang w:val="en-US" w:eastAsia="zh-CN" w:bidi="ar"/>
              </w:rPr>
              <w:t xml:space="preserve">3812.06 </w:t>
            </w:r>
          </w:p>
        </w:tc>
        <w:tc>
          <w:tcPr>
            <w:tcW w:w="1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楷体" w:hAnsi="楷体" w:eastAsia="楷体" w:cs="楷体"/>
                <w:i w:val="0"/>
                <w:color w:val="000000"/>
                <w:sz w:val="22"/>
                <w:szCs w:val="22"/>
                <w:u w:val="none"/>
              </w:rPr>
            </w:pPr>
            <w:r>
              <w:rPr>
                <w:rFonts w:hint="eastAsia" w:ascii="楷体" w:hAnsi="楷体" w:eastAsia="楷体" w:cs="楷体"/>
                <w:i w:val="0"/>
                <w:color w:val="000000"/>
                <w:kern w:val="0"/>
                <w:sz w:val="22"/>
                <w:szCs w:val="22"/>
                <w:u w:val="none"/>
                <w:lang w:val="en-US" w:eastAsia="zh-CN" w:bidi="ar"/>
              </w:rPr>
              <w:t xml:space="preserve">3812.06 </w:t>
            </w:r>
          </w:p>
        </w:tc>
        <w:tc>
          <w:tcPr>
            <w:tcW w:w="1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楷体" w:hAnsi="楷体" w:eastAsia="楷体" w:cs="楷体"/>
                <w:i w:val="0"/>
                <w:color w:val="000000"/>
                <w:sz w:val="22"/>
                <w:szCs w:val="22"/>
                <w:u w:val="none"/>
              </w:rPr>
            </w:pPr>
            <w:r>
              <w:rPr>
                <w:rFonts w:hint="eastAsia" w:ascii="楷体" w:hAnsi="楷体" w:eastAsia="楷体" w:cs="楷体"/>
                <w:i w:val="0"/>
                <w:color w:val="000000"/>
                <w:kern w:val="0"/>
                <w:sz w:val="22"/>
                <w:szCs w:val="22"/>
                <w:u w:val="none"/>
                <w:lang w:val="en-US" w:eastAsia="zh-CN" w:bidi="ar"/>
              </w:rPr>
              <w:t>100%</w:t>
            </w:r>
          </w:p>
        </w:tc>
      </w:tr>
    </w:tbl>
    <w:p>
      <w:pPr>
        <w:rPr>
          <w:rFonts w:hint="default"/>
          <w:lang w:val="en-US" w:eastAsia="zh-CN"/>
        </w:rPr>
      </w:pP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lang w:val="en-US" w:eastAsia="zh-CN"/>
        </w:rPr>
        <w:t>2</w:t>
      </w:r>
      <w:r>
        <w:rPr>
          <w:rFonts w:ascii="Times New Roman" w:hAnsi="Times New Roman" w:eastAsia="方正仿宋_GBK" w:cs="Times New Roman"/>
          <w:kern w:val="0"/>
          <w:sz w:val="32"/>
          <w:szCs w:val="32"/>
        </w:rPr>
        <w:t>、市级专项项目收支情况</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ascii="Times New Roman" w:hAnsi="Times New Roman" w:eastAsia="方正仿宋_GBK" w:cs="Times New Roman"/>
          <w:bCs/>
          <w:sz w:val="32"/>
          <w:szCs w:val="32"/>
        </w:rPr>
      </w:pPr>
      <w:r>
        <w:rPr>
          <w:rFonts w:hint="eastAsia" w:ascii="Times New Roman" w:hAnsi="Times New Roman" w:eastAsia="方正仿宋_GBK" w:cs="Times New Roman"/>
          <w:bCs/>
          <w:sz w:val="32"/>
          <w:szCs w:val="32"/>
          <w:lang w:eastAsia="zh-CN"/>
        </w:rPr>
        <w:t>2025</w:t>
      </w:r>
      <w:r>
        <w:rPr>
          <w:rFonts w:ascii="Times New Roman" w:hAnsi="Times New Roman" w:eastAsia="方正仿宋_GBK" w:cs="Times New Roman"/>
          <w:bCs/>
          <w:sz w:val="32"/>
          <w:szCs w:val="32"/>
        </w:rPr>
        <w:t>年度全市社区戒毒工作补助经费</w:t>
      </w:r>
      <w:r>
        <w:rPr>
          <w:rFonts w:hint="eastAsia" w:ascii="Times New Roman" w:hAnsi="Times New Roman" w:eastAsia="方正仿宋_GBK" w:cs="Times New Roman"/>
          <w:bCs/>
          <w:sz w:val="32"/>
          <w:szCs w:val="32"/>
          <w:lang w:val="en-US" w:eastAsia="zh-CN"/>
        </w:rPr>
        <w:t>344</w:t>
      </w:r>
      <w:r>
        <w:rPr>
          <w:rFonts w:ascii="Times New Roman" w:hAnsi="Times New Roman" w:eastAsia="方正仿宋_GBK" w:cs="Times New Roman"/>
          <w:bCs/>
          <w:sz w:val="32"/>
          <w:szCs w:val="32"/>
        </w:rPr>
        <w:t>万元，全部下拨</w:t>
      </w:r>
      <w:r>
        <w:rPr>
          <w:rFonts w:hint="eastAsia" w:ascii="Times New Roman" w:hAnsi="Times New Roman" w:eastAsia="方正仿宋_GBK" w:cs="Times New Roman"/>
          <w:bCs/>
          <w:sz w:val="32"/>
          <w:szCs w:val="32"/>
          <w:lang w:val="en-US" w:eastAsia="zh-CN"/>
        </w:rPr>
        <w:t>各</w:t>
      </w:r>
      <w:r>
        <w:rPr>
          <w:rFonts w:ascii="Times New Roman" w:hAnsi="Times New Roman" w:eastAsia="方正仿宋_GBK" w:cs="Times New Roman"/>
          <w:bCs/>
          <w:sz w:val="32"/>
          <w:szCs w:val="32"/>
        </w:rPr>
        <w:t>区禁毒办</w:t>
      </w:r>
      <w:r>
        <w:rPr>
          <w:rFonts w:hint="eastAsia" w:ascii="Times New Roman" w:hAnsi="Times New Roman" w:eastAsia="方正仿宋_GBK" w:cs="Times New Roman"/>
          <w:bCs/>
          <w:sz w:val="32"/>
          <w:szCs w:val="32"/>
          <w:lang w:eastAsia="zh-CN"/>
        </w:rPr>
        <w:t>，</w:t>
      </w:r>
      <w:r>
        <w:rPr>
          <w:rFonts w:ascii="Times New Roman" w:hAnsi="Times New Roman" w:eastAsia="方正仿宋_GBK" w:cs="Times New Roman"/>
          <w:bCs/>
          <w:sz w:val="32"/>
          <w:szCs w:val="32"/>
        </w:rPr>
        <w:t>用于社区戒毒相关工作，为社区工作的深入开展提供了有力保障。</w:t>
      </w:r>
    </w:p>
    <w:p>
      <w:pPr>
        <w:pStyle w:val="2"/>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ascii="Times New Roman" w:hAnsi="Times New Roman" w:eastAsia="方正仿宋_GBK" w:cs="Times New Roman"/>
          <w:bCs/>
          <w:kern w:val="2"/>
          <w:sz w:val="32"/>
          <w:szCs w:val="32"/>
          <w:lang w:val="en-US" w:eastAsia="zh-CN" w:bidi="ar-SA"/>
        </w:rPr>
      </w:pPr>
      <w:r>
        <w:rPr>
          <w:rFonts w:hint="eastAsia" w:eastAsia="方正仿宋_GBK" w:cs="Times New Roman"/>
          <w:bCs/>
          <w:kern w:val="2"/>
          <w:sz w:val="32"/>
          <w:szCs w:val="32"/>
          <w:lang w:val="en-US" w:eastAsia="zh-CN" w:bidi="ar-SA"/>
        </w:rPr>
        <w:t>3、</w:t>
      </w:r>
      <w:r>
        <w:rPr>
          <w:rFonts w:ascii="Times New Roman" w:hAnsi="Times New Roman" w:eastAsia="方正仿宋_GBK" w:cs="Times New Roman"/>
          <w:bCs/>
          <w:kern w:val="2"/>
          <w:sz w:val="32"/>
          <w:szCs w:val="32"/>
          <w:lang w:val="en-US" w:eastAsia="zh-CN" w:bidi="ar-SA"/>
        </w:rPr>
        <w:t>“</w:t>
      </w:r>
      <w:r>
        <w:rPr>
          <w:rFonts w:hint="eastAsia" w:ascii="Times New Roman" w:hAnsi="Times New Roman" w:eastAsia="方正仿宋_GBK" w:cs="Times New Roman"/>
          <w:bCs/>
          <w:kern w:val="2"/>
          <w:sz w:val="32"/>
          <w:szCs w:val="32"/>
          <w:lang w:val="en-US" w:eastAsia="zh-CN" w:bidi="ar-SA"/>
        </w:rPr>
        <w:t>三公</w:t>
      </w:r>
      <w:r>
        <w:rPr>
          <w:rFonts w:ascii="Times New Roman" w:hAnsi="Times New Roman" w:eastAsia="方正仿宋_GBK" w:cs="Times New Roman"/>
          <w:bCs/>
          <w:kern w:val="2"/>
          <w:sz w:val="32"/>
          <w:szCs w:val="32"/>
          <w:lang w:val="en-US" w:eastAsia="zh-CN" w:bidi="ar-SA"/>
        </w:rPr>
        <w:t>”</w:t>
      </w:r>
      <w:r>
        <w:rPr>
          <w:rFonts w:hint="eastAsia" w:ascii="Times New Roman" w:hAnsi="Times New Roman" w:eastAsia="方正仿宋_GBK" w:cs="Times New Roman"/>
          <w:bCs/>
          <w:kern w:val="2"/>
          <w:sz w:val="32"/>
          <w:szCs w:val="32"/>
          <w:lang w:val="en-US" w:eastAsia="zh-CN" w:bidi="ar-SA"/>
        </w:rPr>
        <w:t>经费</w:t>
      </w:r>
      <w:r>
        <w:rPr>
          <w:rFonts w:hint="eastAsia" w:eastAsia="方正仿宋_GBK" w:cs="Times New Roman"/>
          <w:bCs/>
          <w:kern w:val="2"/>
          <w:sz w:val="32"/>
          <w:szCs w:val="32"/>
          <w:lang w:val="en-US" w:eastAsia="zh-CN" w:bidi="ar-SA"/>
        </w:rPr>
        <w:t>预</w:t>
      </w:r>
      <w:r>
        <w:rPr>
          <w:rFonts w:hint="eastAsia" w:ascii="Times New Roman" w:hAnsi="Times New Roman" w:eastAsia="方正仿宋_GBK" w:cs="Times New Roman"/>
          <w:bCs/>
          <w:kern w:val="2"/>
          <w:sz w:val="32"/>
          <w:szCs w:val="32"/>
          <w:lang w:val="en-US" w:eastAsia="zh-CN" w:bidi="ar-SA"/>
        </w:rPr>
        <w:t>决算情况。</w:t>
      </w:r>
    </w:p>
    <w:p>
      <w:pPr>
        <w:pStyle w:val="2"/>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eastAsia="方正仿宋_GBK" w:cs="Times New Roman"/>
          <w:bCs/>
          <w:kern w:val="2"/>
          <w:sz w:val="32"/>
          <w:szCs w:val="32"/>
          <w:lang w:val="en-US" w:eastAsia="zh-CN" w:bidi="ar-SA"/>
        </w:rPr>
      </w:pPr>
      <w:r>
        <w:rPr>
          <w:rFonts w:hint="eastAsia" w:ascii="Times New Roman" w:hAnsi="Times New Roman" w:eastAsia="方正仿宋_GBK" w:cs="Times New Roman"/>
          <w:bCs/>
          <w:kern w:val="2"/>
          <w:sz w:val="32"/>
          <w:szCs w:val="32"/>
          <w:lang w:val="en-US" w:eastAsia="zh-CN" w:bidi="ar-SA"/>
        </w:rPr>
        <w:t>2025年</w:t>
      </w:r>
      <w:r>
        <w:rPr>
          <w:rFonts w:ascii="Times New Roman" w:hAnsi="Times New Roman" w:eastAsia="方正仿宋_GBK" w:cs="Times New Roman"/>
          <w:bCs/>
          <w:kern w:val="2"/>
          <w:sz w:val="32"/>
          <w:szCs w:val="32"/>
          <w:lang w:val="en-US" w:eastAsia="zh-CN" w:bidi="ar-SA"/>
        </w:rPr>
        <w:t>“</w:t>
      </w:r>
      <w:r>
        <w:rPr>
          <w:rFonts w:hint="eastAsia" w:ascii="Times New Roman" w:hAnsi="Times New Roman" w:eastAsia="方正仿宋_GBK" w:cs="Times New Roman"/>
          <w:bCs/>
          <w:kern w:val="2"/>
          <w:sz w:val="32"/>
          <w:szCs w:val="32"/>
          <w:lang w:val="en-US" w:eastAsia="zh-CN" w:bidi="ar-SA"/>
        </w:rPr>
        <w:t>三公</w:t>
      </w:r>
      <w:r>
        <w:rPr>
          <w:rFonts w:ascii="Times New Roman" w:hAnsi="Times New Roman" w:eastAsia="方正仿宋_GBK" w:cs="Times New Roman"/>
          <w:bCs/>
          <w:kern w:val="2"/>
          <w:sz w:val="32"/>
          <w:szCs w:val="32"/>
          <w:lang w:val="en-US" w:eastAsia="zh-CN" w:bidi="ar-SA"/>
        </w:rPr>
        <w:t>”</w:t>
      </w:r>
      <w:r>
        <w:rPr>
          <w:rFonts w:hint="eastAsia" w:ascii="Times New Roman" w:hAnsi="Times New Roman" w:eastAsia="方正仿宋_GBK" w:cs="Times New Roman"/>
          <w:bCs/>
          <w:kern w:val="2"/>
          <w:sz w:val="32"/>
          <w:szCs w:val="32"/>
          <w:lang w:val="en-US" w:eastAsia="zh-CN" w:bidi="ar-SA"/>
        </w:rPr>
        <w:t>经费年初预算数为</w:t>
      </w:r>
      <w:r>
        <w:rPr>
          <w:rFonts w:hint="eastAsia" w:eastAsia="方正仿宋_GBK" w:cs="Times New Roman"/>
          <w:bCs/>
          <w:kern w:val="2"/>
          <w:sz w:val="32"/>
          <w:szCs w:val="32"/>
          <w:lang w:val="en-US" w:eastAsia="zh-CN" w:bidi="ar-SA"/>
        </w:rPr>
        <w:t>61.89</w:t>
      </w:r>
      <w:r>
        <w:rPr>
          <w:rFonts w:hint="eastAsia" w:ascii="Times New Roman" w:hAnsi="Times New Roman" w:eastAsia="方正仿宋_GBK" w:cs="Times New Roman"/>
          <w:bCs/>
          <w:kern w:val="2"/>
          <w:sz w:val="32"/>
          <w:szCs w:val="32"/>
          <w:lang w:val="en-US" w:eastAsia="zh-CN" w:bidi="ar-SA"/>
        </w:rPr>
        <w:t>万元，调整预算数</w:t>
      </w:r>
      <w:r>
        <w:rPr>
          <w:rFonts w:hint="eastAsia" w:eastAsia="方正仿宋_GBK" w:cs="Times New Roman"/>
          <w:bCs/>
          <w:kern w:val="2"/>
          <w:sz w:val="32"/>
          <w:szCs w:val="32"/>
          <w:lang w:val="en-US" w:eastAsia="zh-CN" w:bidi="ar-SA"/>
        </w:rPr>
        <w:t>36.13</w:t>
      </w:r>
      <w:r>
        <w:rPr>
          <w:rFonts w:hint="eastAsia" w:ascii="Times New Roman" w:hAnsi="Times New Roman" w:eastAsia="方正仿宋_GBK" w:cs="Times New Roman"/>
          <w:bCs/>
          <w:kern w:val="2"/>
          <w:sz w:val="32"/>
          <w:szCs w:val="32"/>
          <w:lang w:val="en-US" w:eastAsia="zh-CN" w:bidi="ar-SA"/>
        </w:rPr>
        <w:t>万元，决算支出数为</w:t>
      </w:r>
      <w:r>
        <w:rPr>
          <w:rFonts w:hint="eastAsia" w:eastAsia="方正仿宋_GBK" w:cs="Times New Roman"/>
          <w:bCs/>
          <w:kern w:val="2"/>
          <w:sz w:val="32"/>
          <w:szCs w:val="32"/>
          <w:lang w:val="en-US" w:eastAsia="zh-CN" w:bidi="ar-SA"/>
        </w:rPr>
        <w:t>36.13</w:t>
      </w:r>
      <w:r>
        <w:rPr>
          <w:rFonts w:hint="eastAsia" w:ascii="Times New Roman" w:hAnsi="Times New Roman" w:eastAsia="方正仿宋_GBK" w:cs="Times New Roman"/>
          <w:bCs/>
          <w:kern w:val="2"/>
          <w:sz w:val="32"/>
          <w:szCs w:val="32"/>
          <w:lang w:val="en-US" w:eastAsia="zh-CN" w:bidi="ar-SA"/>
        </w:rPr>
        <w:t>万元，实际执行占</w:t>
      </w:r>
      <w:r>
        <w:rPr>
          <w:rFonts w:hint="eastAsia" w:eastAsia="方正仿宋_GBK" w:cs="Times New Roman"/>
          <w:bCs/>
          <w:kern w:val="2"/>
          <w:sz w:val="32"/>
          <w:szCs w:val="32"/>
          <w:lang w:val="en-US" w:eastAsia="zh-CN" w:bidi="ar-SA"/>
        </w:rPr>
        <w:t>年初</w:t>
      </w:r>
      <w:r>
        <w:rPr>
          <w:rFonts w:hint="eastAsia" w:ascii="Times New Roman" w:hAnsi="Times New Roman" w:eastAsia="方正仿宋_GBK" w:cs="Times New Roman"/>
          <w:bCs/>
          <w:kern w:val="2"/>
          <w:sz w:val="32"/>
          <w:szCs w:val="32"/>
          <w:lang w:val="en-US" w:eastAsia="zh-CN" w:bidi="ar-SA"/>
        </w:rPr>
        <w:t>预算</w:t>
      </w:r>
      <w:r>
        <w:rPr>
          <w:rFonts w:hint="eastAsia" w:eastAsia="方正仿宋_GBK" w:cs="Times New Roman"/>
          <w:bCs/>
          <w:kern w:val="2"/>
          <w:sz w:val="32"/>
          <w:szCs w:val="32"/>
          <w:lang w:val="en-US" w:eastAsia="zh-CN" w:bidi="ar-SA"/>
        </w:rPr>
        <w:t>58.38</w:t>
      </w:r>
      <w:r>
        <w:rPr>
          <w:rFonts w:hint="eastAsia" w:ascii="Times New Roman" w:hAnsi="Times New Roman" w:eastAsia="方正仿宋_GBK" w:cs="Times New Roman"/>
          <w:bCs/>
          <w:kern w:val="2"/>
          <w:sz w:val="32"/>
          <w:szCs w:val="32"/>
          <w:lang w:val="en-US" w:eastAsia="zh-CN" w:bidi="ar-SA"/>
        </w:rPr>
        <w:t>%</w:t>
      </w:r>
      <w:r>
        <w:rPr>
          <w:rFonts w:hint="eastAsia" w:eastAsia="方正仿宋_GBK" w:cs="Times New Roman"/>
          <w:bCs/>
          <w:kern w:val="2"/>
          <w:sz w:val="32"/>
          <w:szCs w:val="32"/>
          <w:lang w:val="en-US" w:eastAsia="zh-CN" w:bidi="ar-SA"/>
        </w:rPr>
        <w:t>，预算执行率100%</w:t>
      </w:r>
      <w:r>
        <w:rPr>
          <w:rFonts w:hint="eastAsia" w:ascii="Times New Roman" w:hAnsi="Times New Roman" w:eastAsia="方正仿宋_GBK" w:cs="Times New Roman"/>
          <w:bCs/>
          <w:kern w:val="2"/>
          <w:sz w:val="32"/>
          <w:szCs w:val="32"/>
          <w:lang w:val="en-US" w:eastAsia="zh-CN" w:bidi="ar-SA"/>
        </w:rPr>
        <w:t>。我单位</w:t>
      </w:r>
      <w:r>
        <w:rPr>
          <w:rFonts w:ascii="Times New Roman" w:hAnsi="Times New Roman" w:eastAsia="方正仿宋_GBK" w:cs="Times New Roman"/>
          <w:bCs/>
          <w:kern w:val="2"/>
          <w:sz w:val="32"/>
          <w:szCs w:val="32"/>
          <w:lang w:val="en-US" w:eastAsia="zh-CN" w:bidi="ar-SA"/>
        </w:rPr>
        <w:t>“</w:t>
      </w:r>
      <w:r>
        <w:rPr>
          <w:rFonts w:hint="eastAsia" w:ascii="Times New Roman" w:hAnsi="Times New Roman" w:eastAsia="方正仿宋_GBK" w:cs="Times New Roman"/>
          <w:bCs/>
          <w:kern w:val="2"/>
          <w:sz w:val="32"/>
          <w:szCs w:val="32"/>
          <w:lang w:val="en-US" w:eastAsia="zh-CN" w:bidi="ar-SA"/>
        </w:rPr>
        <w:t>三公</w:t>
      </w:r>
      <w:r>
        <w:rPr>
          <w:rFonts w:ascii="Times New Roman" w:hAnsi="Times New Roman" w:eastAsia="方正仿宋_GBK" w:cs="Times New Roman"/>
          <w:bCs/>
          <w:kern w:val="2"/>
          <w:sz w:val="32"/>
          <w:szCs w:val="32"/>
          <w:lang w:val="en-US" w:eastAsia="zh-CN" w:bidi="ar-SA"/>
        </w:rPr>
        <w:t>”</w:t>
      </w:r>
      <w:r>
        <w:rPr>
          <w:rFonts w:hint="eastAsia" w:ascii="Times New Roman" w:hAnsi="Times New Roman" w:eastAsia="方正仿宋_GBK" w:cs="Times New Roman"/>
          <w:bCs/>
          <w:kern w:val="2"/>
          <w:sz w:val="32"/>
          <w:szCs w:val="32"/>
          <w:lang w:val="en-US" w:eastAsia="zh-CN" w:bidi="ar-SA"/>
        </w:rPr>
        <w:t>经费财政拨款支出决算数36.13万元。其中：因公出国（境）费财政拨款支出决算数1.00万元</w:t>
      </w:r>
      <w:r>
        <w:rPr>
          <w:rFonts w:hint="eastAsia" w:eastAsia="方正仿宋_GBK" w:cs="Times New Roman"/>
          <w:bCs/>
          <w:kern w:val="2"/>
          <w:sz w:val="32"/>
          <w:szCs w:val="32"/>
          <w:lang w:val="en-US" w:eastAsia="zh-CN" w:bidi="ar-SA"/>
        </w:rPr>
        <w:t>；</w:t>
      </w:r>
      <w:r>
        <w:rPr>
          <w:rFonts w:hint="eastAsia" w:ascii="Times New Roman" w:hAnsi="Times New Roman" w:eastAsia="方正仿宋_GBK" w:cs="Times New Roman"/>
          <w:bCs/>
          <w:kern w:val="2"/>
          <w:sz w:val="32"/>
          <w:szCs w:val="32"/>
          <w:lang w:val="en-US" w:eastAsia="zh-CN" w:bidi="ar-SA"/>
        </w:rPr>
        <w:t>公务用车购置费</w:t>
      </w:r>
      <w:r>
        <w:rPr>
          <w:rFonts w:hint="eastAsia" w:eastAsia="方正仿宋_GBK" w:cs="Times New Roman"/>
          <w:bCs/>
          <w:kern w:val="2"/>
          <w:sz w:val="32"/>
          <w:szCs w:val="32"/>
          <w:lang w:val="en-US" w:eastAsia="zh-CN" w:bidi="ar-SA"/>
        </w:rPr>
        <w:t>财政拨款支出决算数</w:t>
      </w:r>
      <w:r>
        <w:rPr>
          <w:rFonts w:hint="eastAsia" w:ascii="Times New Roman" w:hAnsi="Times New Roman" w:eastAsia="方正仿宋_GBK" w:cs="Times New Roman"/>
          <w:bCs/>
          <w:kern w:val="2"/>
          <w:sz w:val="32"/>
          <w:szCs w:val="32"/>
          <w:lang w:val="en-US" w:eastAsia="zh-CN" w:bidi="ar-SA"/>
        </w:rPr>
        <w:t>17.98万元</w:t>
      </w:r>
      <w:r>
        <w:rPr>
          <w:rFonts w:hint="eastAsia" w:eastAsia="方正仿宋_GBK" w:cs="Times New Roman"/>
          <w:bCs/>
          <w:kern w:val="2"/>
          <w:sz w:val="32"/>
          <w:szCs w:val="32"/>
          <w:lang w:val="en-US" w:eastAsia="zh-CN" w:bidi="ar-SA"/>
        </w:rPr>
        <w:t>；公务用车运行</w:t>
      </w:r>
      <w:r>
        <w:rPr>
          <w:rFonts w:hint="eastAsia" w:ascii="Times New Roman" w:hAnsi="Times New Roman" w:eastAsia="方正仿宋_GBK" w:cs="Times New Roman"/>
          <w:bCs/>
          <w:kern w:val="2"/>
          <w:sz w:val="32"/>
          <w:szCs w:val="32"/>
          <w:lang w:val="en-US" w:eastAsia="zh-CN" w:bidi="ar-SA"/>
        </w:rPr>
        <w:t>维护费</w:t>
      </w:r>
      <w:r>
        <w:rPr>
          <w:rFonts w:hint="eastAsia" w:eastAsia="方正仿宋_GBK" w:cs="Times New Roman"/>
          <w:bCs/>
          <w:kern w:val="2"/>
          <w:sz w:val="32"/>
          <w:szCs w:val="32"/>
          <w:lang w:val="en-US" w:eastAsia="zh-CN" w:bidi="ar-SA"/>
        </w:rPr>
        <w:t>财政拨款</w:t>
      </w:r>
      <w:r>
        <w:rPr>
          <w:rFonts w:hint="eastAsia" w:ascii="Times New Roman" w:hAnsi="Times New Roman" w:eastAsia="方正仿宋_GBK" w:cs="Times New Roman"/>
          <w:bCs/>
          <w:kern w:val="2"/>
          <w:sz w:val="32"/>
          <w:szCs w:val="32"/>
          <w:lang w:val="en-US" w:eastAsia="zh-CN" w:bidi="ar-SA"/>
        </w:rPr>
        <w:t>支出决算数17.05万元</w:t>
      </w:r>
      <w:r>
        <w:rPr>
          <w:rFonts w:hint="eastAsia" w:eastAsia="方正仿宋_GBK" w:cs="Times New Roman"/>
          <w:bCs/>
          <w:kern w:val="2"/>
          <w:sz w:val="32"/>
          <w:szCs w:val="32"/>
          <w:lang w:val="en-US" w:eastAsia="zh-CN" w:bidi="ar-SA"/>
        </w:rPr>
        <w:t>；</w:t>
      </w:r>
      <w:r>
        <w:rPr>
          <w:rFonts w:hint="eastAsia" w:ascii="Times New Roman" w:hAnsi="Times New Roman" w:eastAsia="方正仿宋_GBK" w:cs="Times New Roman"/>
          <w:bCs/>
          <w:kern w:val="2"/>
          <w:sz w:val="32"/>
          <w:szCs w:val="32"/>
          <w:lang w:val="en-US" w:eastAsia="zh-CN" w:bidi="ar-SA"/>
        </w:rPr>
        <w:t>公务接待费财政拨款支出决算数0.10万元</w:t>
      </w:r>
      <w:r>
        <w:rPr>
          <w:rFonts w:hint="eastAsia" w:eastAsia="方正仿宋_GBK" w:cs="Times New Roman"/>
          <w:bCs/>
          <w:kern w:val="2"/>
          <w:sz w:val="32"/>
          <w:szCs w:val="32"/>
          <w:lang w:val="en-US" w:eastAsia="zh-CN" w:bidi="ar-SA"/>
        </w:rPr>
        <w:t>。“三公”经费预算与执行情况如表2。</w:t>
      </w:r>
    </w:p>
    <w:p>
      <w:pPr>
        <w:autoSpaceDE w:val="0"/>
        <w:autoSpaceDN w:val="0"/>
        <w:spacing w:line="560" w:lineRule="exact"/>
        <w:jc w:val="center"/>
        <w:rPr>
          <w:rFonts w:hint="eastAsia" w:ascii="楷体" w:hAnsi="楷体" w:eastAsia="楷体" w:cs="楷体"/>
          <w:kern w:val="0"/>
          <w:sz w:val="28"/>
          <w:szCs w:val="28"/>
        </w:rPr>
      </w:pPr>
      <w:r>
        <w:rPr>
          <w:rFonts w:hint="eastAsia" w:ascii="楷体" w:hAnsi="楷体" w:eastAsia="楷体" w:cs="楷体"/>
          <w:kern w:val="0"/>
          <w:sz w:val="28"/>
          <w:szCs w:val="28"/>
        </w:rPr>
        <w:t>表</w:t>
      </w:r>
      <w:r>
        <w:rPr>
          <w:rFonts w:hint="eastAsia" w:ascii="楷体" w:hAnsi="楷体" w:eastAsia="楷体" w:cs="楷体"/>
          <w:kern w:val="0"/>
          <w:sz w:val="28"/>
          <w:szCs w:val="28"/>
          <w:lang w:val="en-US" w:eastAsia="zh-CN"/>
        </w:rPr>
        <w:t>2</w:t>
      </w:r>
      <w:r>
        <w:rPr>
          <w:rFonts w:hint="eastAsia" w:ascii="楷体" w:hAnsi="楷体" w:eastAsia="楷体" w:cs="楷体"/>
          <w:kern w:val="0"/>
          <w:sz w:val="28"/>
          <w:szCs w:val="28"/>
        </w:rPr>
        <w:t>：</w:t>
      </w:r>
      <w:r>
        <w:rPr>
          <w:rFonts w:hint="eastAsia" w:ascii="楷体" w:hAnsi="楷体" w:eastAsia="楷体" w:cs="楷体"/>
          <w:kern w:val="0"/>
          <w:sz w:val="28"/>
          <w:szCs w:val="28"/>
          <w:lang w:eastAsia="zh-CN"/>
        </w:rPr>
        <w:t>2025</w:t>
      </w:r>
      <w:r>
        <w:rPr>
          <w:rFonts w:hint="eastAsia" w:ascii="楷体" w:hAnsi="楷体" w:eastAsia="楷体" w:cs="楷体"/>
          <w:kern w:val="0"/>
          <w:sz w:val="28"/>
          <w:szCs w:val="28"/>
        </w:rPr>
        <w:t>年</w:t>
      </w:r>
      <w:r>
        <w:rPr>
          <w:rFonts w:hint="eastAsia" w:ascii="楷体" w:hAnsi="楷体" w:eastAsia="楷体" w:cs="楷体"/>
          <w:kern w:val="0"/>
          <w:sz w:val="28"/>
          <w:szCs w:val="28"/>
          <w:lang w:val="en-US" w:eastAsia="zh-CN"/>
        </w:rPr>
        <w:t>禁毒支队</w:t>
      </w:r>
      <w:r>
        <w:rPr>
          <w:rFonts w:hint="eastAsia" w:ascii="楷体" w:hAnsi="楷体" w:eastAsia="楷体" w:cs="楷体"/>
          <w:kern w:val="0"/>
          <w:sz w:val="28"/>
          <w:szCs w:val="28"/>
        </w:rPr>
        <w:t>“三公”经费预算与执行情况表</w:t>
      </w:r>
    </w:p>
    <w:p>
      <w:pPr>
        <w:autoSpaceDE w:val="0"/>
        <w:autoSpaceDN w:val="0"/>
        <w:spacing w:line="560" w:lineRule="exact"/>
        <w:ind w:firstLine="420" w:firstLineChars="200"/>
        <w:jc w:val="right"/>
        <w:rPr>
          <w:rFonts w:hint="eastAsia" w:ascii="楷体" w:hAnsi="楷体" w:eastAsia="楷体" w:cs="楷体"/>
          <w:szCs w:val="21"/>
          <w:lang w:val="zh-CN" w:bidi="zh-CN"/>
        </w:rPr>
      </w:pPr>
      <w:r>
        <w:rPr>
          <w:rFonts w:hint="eastAsia" w:ascii="楷体" w:hAnsi="楷体" w:eastAsia="楷体" w:cs="楷体"/>
          <w:kern w:val="0"/>
          <w:szCs w:val="21"/>
        </w:rPr>
        <w:t>金额：万元</w:t>
      </w:r>
    </w:p>
    <w:tbl>
      <w:tblPr>
        <w:tblStyle w:val="11"/>
        <w:tblW w:w="8618" w:type="dxa"/>
        <w:tblInd w:w="0" w:type="dxa"/>
        <w:tblLayout w:type="fixed"/>
        <w:tblCellMar>
          <w:top w:w="0" w:type="dxa"/>
          <w:left w:w="108" w:type="dxa"/>
          <w:bottom w:w="0" w:type="dxa"/>
          <w:right w:w="108" w:type="dxa"/>
        </w:tblCellMar>
      </w:tblPr>
      <w:tblGrid>
        <w:gridCol w:w="4868"/>
        <w:gridCol w:w="1875"/>
        <w:gridCol w:w="1875"/>
      </w:tblGrid>
      <w:tr>
        <w:tblPrEx>
          <w:tblLayout w:type="fixed"/>
          <w:tblCellMar>
            <w:top w:w="0" w:type="dxa"/>
            <w:left w:w="108" w:type="dxa"/>
            <w:bottom w:w="0" w:type="dxa"/>
            <w:right w:w="108" w:type="dxa"/>
          </w:tblCellMar>
        </w:tblPrEx>
        <w:trPr>
          <w:trHeight w:val="390" w:hRule="atLeast"/>
        </w:trPr>
        <w:tc>
          <w:tcPr>
            <w:tcW w:w="4868" w:type="dxa"/>
            <w:tcBorders>
              <w:top w:val="single" w:color="auto" w:sz="4" w:space="0"/>
              <w:left w:val="single" w:color="auto" w:sz="4" w:space="0"/>
              <w:bottom w:val="single" w:color="auto" w:sz="4" w:space="0"/>
              <w:right w:val="single" w:color="auto" w:sz="4" w:space="0"/>
            </w:tcBorders>
            <w:shd w:val="clear" w:color="000000" w:fill="FFFFFF"/>
            <w:vAlign w:val="top"/>
          </w:tcPr>
          <w:p>
            <w:pPr>
              <w:jc w:val="center"/>
              <w:rPr>
                <w:rFonts w:hint="eastAsia" w:ascii="楷体" w:hAnsi="楷体" w:eastAsia="楷体" w:cs="楷体"/>
                <w:kern w:val="0"/>
                <w:szCs w:val="21"/>
              </w:rPr>
            </w:pPr>
            <w:r>
              <w:rPr>
                <w:rFonts w:hint="eastAsia" w:ascii="楷体" w:hAnsi="楷体" w:eastAsia="楷体" w:cs="楷体"/>
                <w:kern w:val="0"/>
                <w:szCs w:val="21"/>
              </w:rPr>
              <w:t>项目</w:t>
            </w:r>
          </w:p>
        </w:tc>
        <w:tc>
          <w:tcPr>
            <w:tcW w:w="1875"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hint="eastAsia" w:ascii="楷体" w:hAnsi="楷体" w:eastAsia="楷体" w:cs="楷体"/>
                <w:kern w:val="0"/>
                <w:szCs w:val="21"/>
              </w:rPr>
            </w:pPr>
            <w:r>
              <w:rPr>
                <w:rFonts w:hint="eastAsia" w:ascii="楷体" w:hAnsi="楷体" w:eastAsia="楷体" w:cs="楷体"/>
                <w:kern w:val="0"/>
                <w:szCs w:val="21"/>
              </w:rPr>
              <w:t>预算数</w:t>
            </w:r>
          </w:p>
        </w:tc>
        <w:tc>
          <w:tcPr>
            <w:tcW w:w="1875"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hint="eastAsia" w:ascii="楷体" w:hAnsi="楷体" w:eastAsia="楷体" w:cs="楷体"/>
                <w:kern w:val="0"/>
                <w:szCs w:val="21"/>
              </w:rPr>
            </w:pPr>
            <w:r>
              <w:rPr>
                <w:rFonts w:hint="eastAsia" w:ascii="楷体" w:hAnsi="楷体" w:eastAsia="楷体" w:cs="楷体"/>
                <w:kern w:val="0"/>
                <w:szCs w:val="21"/>
              </w:rPr>
              <w:t>决算数</w:t>
            </w:r>
          </w:p>
        </w:tc>
      </w:tr>
      <w:tr>
        <w:tblPrEx>
          <w:tblLayout w:type="fixed"/>
          <w:tblCellMar>
            <w:top w:w="0" w:type="dxa"/>
            <w:left w:w="108" w:type="dxa"/>
            <w:bottom w:w="0" w:type="dxa"/>
            <w:right w:w="108" w:type="dxa"/>
          </w:tblCellMar>
        </w:tblPrEx>
        <w:trPr>
          <w:trHeight w:val="405" w:hRule="exact"/>
        </w:trPr>
        <w:tc>
          <w:tcPr>
            <w:tcW w:w="4868" w:type="dxa"/>
            <w:tcBorders>
              <w:top w:val="nil"/>
              <w:left w:val="single" w:color="auto" w:sz="4" w:space="0"/>
              <w:bottom w:val="single" w:color="auto" w:sz="4" w:space="0"/>
              <w:right w:val="single" w:color="auto" w:sz="4" w:space="0"/>
            </w:tcBorders>
            <w:shd w:val="clear" w:color="000000" w:fill="FFFFFF"/>
            <w:vAlign w:val="center"/>
          </w:tcPr>
          <w:p>
            <w:pPr>
              <w:widowControl/>
              <w:autoSpaceDE w:val="0"/>
              <w:autoSpaceDN w:val="0"/>
              <w:jc w:val="left"/>
              <w:rPr>
                <w:rFonts w:hint="eastAsia" w:ascii="楷体" w:hAnsi="楷体" w:eastAsia="楷体" w:cs="楷体"/>
                <w:kern w:val="0"/>
                <w:szCs w:val="21"/>
                <w:lang w:val="zh-CN" w:bidi="zh-CN"/>
              </w:rPr>
            </w:pPr>
            <w:r>
              <w:rPr>
                <w:rFonts w:hint="eastAsia" w:ascii="楷体" w:hAnsi="楷体" w:eastAsia="楷体" w:cs="楷体"/>
                <w:kern w:val="0"/>
                <w:szCs w:val="21"/>
                <w:lang w:val="zh-CN" w:bidi="zh-CN"/>
              </w:rPr>
              <w:t>1.因公出国（境）费</w:t>
            </w:r>
          </w:p>
        </w:tc>
        <w:tc>
          <w:tcPr>
            <w:tcW w:w="1875" w:type="dxa"/>
            <w:tcBorders>
              <w:top w:val="nil"/>
              <w:left w:val="nil"/>
              <w:bottom w:val="single" w:color="auto" w:sz="4" w:space="0"/>
              <w:right w:val="single" w:color="auto" w:sz="4" w:space="0"/>
            </w:tcBorders>
            <w:shd w:val="clear" w:color="000000" w:fill="FFFFFF"/>
            <w:vAlign w:val="center"/>
          </w:tcPr>
          <w:p>
            <w:pPr>
              <w:jc w:val="center"/>
              <w:rPr>
                <w:rFonts w:hint="eastAsia" w:ascii="楷体" w:hAnsi="楷体" w:eastAsia="楷体" w:cs="楷体"/>
                <w:szCs w:val="21"/>
              </w:rPr>
            </w:pPr>
            <w:r>
              <w:rPr>
                <w:rFonts w:hint="eastAsia" w:ascii="楷体" w:hAnsi="楷体" w:eastAsia="楷体" w:cs="楷体"/>
                <w:szCs w:val="21"/>
              </w:rPr>
              <w:t>0</w:t>
            </w:r>
          </w:p>
        </w:tc>
        <w:tc>
          <w:tcPr>
            <w:tcW w:w="1875" w:type="dxa"/>
            <w:tcBorders>
              <w:top w:val="nil"/>
              <w:left w:val="nil"/>
              <w:bottom w:val="single" w:color="auto" w:sz="4" w:space="0"/>
              <w:right w:val="single" w:color="auto" w:sz="4" w:space="0"/>
            </w:tcBorders>
            <w:shd w:val="clear" w:color="000000" w:fill="FFFFFF"/>
            <w:vAlign w:val="center"/>
          </w:tcPr>
          <w:p>
            <w:pPr>
              <w:jc w:val="center"/>
              <w:rPr>
                <w:rFonts w:hint="eastAsia" w:ascii="楷体" w:hAnsi="楷体" w:eastAsia="楷体" w:cs="楷体"/>
                <w:szCs w:val="21"/>
                <w:lang w:val="en-US" w:eastAsia="zh-CN"/>
              </w:rPr>
            </w:pPr>
            <w:r>
              <w:rPr>
                <w:rFonts w:hint="eastAsia" w:ascii="楷体" w:hAnsi="楷体" w:eastAsia="楷体" w:cs="楷体"/>
                <w:szCs w:val="21"/>
                <w:lang w:val="en-US" w:eastAsia="zh-CN"/>
              </w:rPr>
              <w:t>1</w:t>
            </w:r>
          </w:p>
        </w:tc>
      </w:tr>
      <w:tr>
        <w:tblPrEx>
          <w:tblLayout w:type="fixed"/>
          <w:tblCellMar>
            <w:top w:w="0" w:type="dxa"/>
            <w:left w:w="108" w:type="dxa"/>
            <w:bottom w:w="0" w:type="dxa"/>
            <w:right w:w="108" w:type="dxa"/>
          </w:tblCellMar>
        </w:tblPrEx>
        <w:trPr>
          <w:trHeight w:val="412" w:hRule="exact"/>
        </w:trPr>
        <w:tc>
          <w:tcPr>
            <w:tcW w:w="4868" w:type="dxa"/>
            <w:tcBorders>
              <w:top w:val="nil"/>
              <w:left w:val="single" w:color="auto" w:sz="4" w:space="0"/>
              <w:bottom w:val="single" w:color="auto" w:sz="4" w:space="0"/>
              <w:right w:val="single" w:color="auto" w:sz="4" w:space="0"/>
            </w:tcBorders>
            <w:shd w:val="clear" w:color="000000" w:fill="FFFFFF"/>
            <w:vAlign w:val="center"/>
          </w:tcPr>
          <w:p>
            <w:pPr>
              <w:widowControl/>
              <w:autoSpaceDE w:val="0"/>
              <w:autoSpaceDN w:val="0"/>
              <w:jc w:val="left"/>
              <w:rPr>
                <w:rFonts w:hint="eastAsia" w:ascii="楷体" w:hAnsi="楷体" w:eastAsia="楷体" w:cs="楷体"/>
                <w:kern w:val="0"/>
                <w:szCs w:val="21"/>
                <w:lang w:val="zh-CN" w:bidi="zh-CN"/>
              </w:rPr>
            </w:pPr>
            <w:r>
              <w:rPr>
                <w:rFonts w:hint="eastAsia" w:ascii="楷体" w:hAnsi="楷体" w:eastAsia="楷体" w:cs="楷体"/>
                <w:kern w:val="0"/>
                <w:szCs w:val="21"/>
                <w:lang w:val="zh-CN" w:bidi="zh-CN"/>
              </w:rPr>
              <w:t>2.公务接待费</w:t>
            </w:r>
          </w:p>
        </w:tc>
        <w:tc>
          <w:tcPr>
            <w:tcW w:w="1875" w:type="dxa"/>
            <w:tcBorders>
              <w:top w:val="nil"/>
              <w:left w:val="nil"/>
              <w:bottom w:val="single" w:color="auto" w:sz="4" w:space="0"/>
              <w:right w:val="single" w:color="auto" w:sz="4" w:space="0"/>
            </w:tcBorders>
            <w:shd w:val="clear" w:color="000000" w:fill="FFFFFF"/>
            <w:vAlign w:val="center"/>
          </w:tcPr>
          <w:p>
            <w:pPr>
              <w:jc w:val="center"/>
              <w:rPr>
                <w:rFonts w:hint="eastAsia" w:ascii="楷体" w:hAnsi="楷体" w:eastAsia="楷体" w:cs="楷体"/>
                <w:szCs w:val="21"/>
                <w:lang w:val="en-US" w:eastAsia="zh-CN"/>
              </w:rPr>
            </w:pPr>
            <w:r>
              <w:rPr>
                <w:rFonts w:hint="eastAsia" w:ascii="楷体" w:hAnsi="楷体" w:eastAsia="楷体" w:cs="楷体"/>
                <w:szCs w:val="21"/>
                <w:lang w:val="en-US" w:eastAsia="zh-CN"/>
              </w:rPr>
              <w:t>1</w:t>
            </w:r>
          </w:p>
        </w:tc>
        <w:tc>
          <w:tcPr>
            <w:tcW w:w="1875" w:type="dxa"/>
            <w:tcBorders>
              <w:top w:val="nil"/>
              <w:left w:val="nil"/>
              <w:bottom w:val="single" w:color="auto" w:sz="4" w:space="0"/>
              <w:right w:val="single" w:color="auto" w:sz="4" w:space="0"/>
            </w:tcBorders>
            <w:shd w:val="clear" w:color="000000" w:fill="FFFFFF"/>
            <w:vAlign w:val="center"/>
          </w:tcPr>
          <w:p>
            <w:pPr>
              <w:jc w:val="center"/>
              <w:rPr>
                <w:rFonts w:hint="default" w:ascii="楷体" w:hAnsi="楷体" w:eastAsia="楷体" w:cs="楷体"/>
                <w:szCs w:val="21"/>
                <w:lang w:val="en-US" w:eastAsia="zh-CN"/>
              </w:rPr>
            </w:pPr>
            <w:r>
              <w:rPr>
                <w:rFonts w:hint="eastAsia" w:ascii="楷体" w:hAnsi="楷体" w:eastAsia="楷体" w:cs="楷体"/>
                <w:szCs w:val="21"/>
                <w:lang w:val="en-US" w:eastAsia="zh-CN"/>
              </w:rPr>
              <w:t>0.1</w:t>
            </w:r>
          </w:p>
        </w:tc>
      </w:tr>
      <w:tr>
        <w:tblPrEx>
          <w:tblLayout w:type="fixed"/>
          <w:tblCellMar>
            <w:top w:w="0" w:type="dxa"/>
            <w:left w:w="108" w:type="dxa"/>
            <w:bottom w:w="0" w:type="dxa"/>
            <w:right w:w="108" w:type="dxa"/>
          </w:tblCellMar>
        </w:tblPrEx>
        <w:trPr>
          <w:trHeight w:val="412" w:hRule="exact"/>
        </w:trPr>
        <w:tc>
          <w:tcPr>
            <w:tcW w:w="4868" w:type="dxa"/>
            <w:tcBorders>
              <w:top w:val="nil"/>
              <w:left w:val="single" w:color="auto" w:sz="4" w:space="0"/>
              <w:bottom w:val="single" w:color="auto" w:sz="4" w:space="0"/>
              <w:right w:val="single" w:color="auto" w:sz="4" w:space="0"/>
            </w:tcBorders>
            <w:shd w:val="clear" w:color="000000" w:fill="FFFFFF"/>
            <w:vAlign w:val="center"/>
          </w:tcPr>
          <w:p>
            <w:pPr>
              <w:widowControl/>
              <w:autoSpaceDE w:val="0"/>
              <w:autoSpaceDN w:val="0"/>
              <w:jc w:val="left"/>
              <w:rPr>
                <w:rFonts w:hint="eastAsia" w:ascii="楷体" w:hAnsi="楷体" w:eastAsia="楷体" w:cs="楷体"/>
                <w:kern w:val="0"/>
                <w:szCs w:val="21"/>
                <w:lang w:val="zh-CN" w:bidi="zh-CN"/>
              </w:rPr>
            </w:pPr>
            <w:r>
              <w:rPr>
                <w:rFonts w:hint="eastAsia" w:ascii="楷体" w:hAnsi="楷体" w:eastAsia="楷体" w:cs="楷体"/>
                <w:kern w:val="0"/>
                <w:szCs w:val="21"/>
                <w:lang w:val="zh-CN" w:bidi="zh-CN"/>
              </w:rPr>
              <w:t>3.公务车辆购置及运行费</w:t>
            </w:r>
          </w:p>
        </w:tc>
        <w:tc>
          <w:tcPr>
            <w:tcW w:w="1875" w:type="dxa"/>
            <w:tcBorders>
              <w:top w:val="nil"/>
              <w:left w:val="nil"/>
              <w:bottom w:val="single" w:color="auto" w:sz="4" w:space="0"/>
              <w:right w:val="single" w:color="auto" w:sz="4" w:space="0"/>
            </w:tcBorders>
            <w:shd w:val="clear" w:color="000000" w:fill="FFFFFF"/>
            <w:vAlign w:val="center"/>
          </w:tcPr>
          <w:p>
            <w:pPr>
              <w:jc w:val="center"/>
              <w:rPr>
                <w:rFonts w:hint="default" w:ascii="楷体" w:hAnsi="楷体" w:eastAsia="楷体" w:cs="楷体"/>
                <w:szCs w:val="21"/>
                <w:lang w:val="en-US" w:eastAsia="zh-CN"/>
              </w:rPr>
            </w:pPr>
            <w:r>
              <w:rPr>
                <w:rFonts w:hint="eastAsia" w:ascii="楷体" w:hAnsi="楷体" w:eastAsia="楷体" w:cs="楷体"/>
                <w:szCs w:val="21"/>
                <w:lang w:val="en-US" w:eastAsia="zh-CN"/>
              </w:rPr>
              <w:t>60.89</w:t>
            </w:r>
          </w:p>
        </w:tc>
        <w:tc>
          <w:tcPr>
            <w:tcW w:w="1875" w:type="dxa"/>
            <w:tcBorders>
              <w:top w:val="nil"/>
              <w:left w:val="nil"/>
              <w:bottom w:val="single" w:color="auto" w:sz="4" w:space="0"/>
              <w:right w:val="single" w:color="auto" w:sz="4" w:space="0"/>
            </w:tcBorders>
            <w:shd w:val="clear" w:color="000000" w:fill="FFFFFF"/>
            <w:vAlign w:val="center"/>
          </w:tcPr>
          <w:p>
            <w:pPr>
              <w:jc w:val="center"/>
              <w:rPr>
                <w:rFonts w:hint="default" w:ascii="楷体" w:hAnsi="楷体" w:eastAsia="楷体" w:cs="楷体"/>
                <w:szCs w:val="21"/>
                <w:lang w:val="en-US" w:eastAsia="zh-CN"/>
              </w:rPr>
            </w:pPr>
            <w:r>
              <w:rPr>
                <w:rFonts w:hint="eastAsia" w:ascii="楷体" w:hAnsi="楷体" w:eastAsia="楷体" w:cs="楷体"/>
                <w:szCs w:val="21"/>
                <w:lang w:val="en-US" w:eastAsia="zh-CN"/>
              </w:rPr>
              <w:t>35.03</w:t>
            </w:r>
          </w:p>
        </w:tc>
      </w:tr>
      <w:tr>
        <w:tblPrEx>
          <w:tblLayout w:type="fixed"/>
          <w:tblCellMar>
            <w:top w:w="0" w:type="dxa"/>
            <w:left w:w="108" w:type="dxa"/>
            <w:bottom w:w="0" w:type="dxa"/>
            <w:right w:w="108" w:type="dxa"/>
          </w:tblCellMar>
        </w:tblPrEx>
        <w:trPr>
          <w:trHeight w:val="424" w:hRule="exact"/>
        </w:trPr>
        <w:tc>
          <w:tcPr>
            <w:tcW w:w="4868" w:type="dxa"/>
            <w:tcBorders>
              <w:top w:val="nil"/>
              <w:left w:val="single" w:color="auto" w:sz="4" w:space="0"/>
              <w:bottom w:val="single" w:color="auto" w:sz="4" w:space="0"/>
              <w:right w:val="single" w:color="auto" w:sz="4" w:space="0"/>
            </w:tcBorders>
            <w:shd w:val="clear" w:color="000000" w:fill="FFFFFF"/>
            <w:vAlign w:val="center"/>
          </w:tcPr>
          <w:p>
            <w:pPr>
              <w:widowControl/>
              <w:autoSpaceDE w:val="0"/>
              <w:autoSpaceDN w:val="0"/>
              <w:jc w:val="center"/>
              <w:rPr>
                <w:rFonts w:hint="eastAsia" w:ascii="楷体" w:hAnsi="楷体" w:eastAsia="楷体" w:cs="楷体"/>
                <w:kern w:val="0"/>
                <w:szCs w:val="21"/>
                <w:lang w:val="zh-CN" w:bidi="zh-CN"/>
              </w:rPr>
            </w:pPr>
            <w:r>
              <w:rPr>
                <w:rFonts w:hint="eastAsia" w:ascii="楷体" w:hAnsi="楷体" w:eastAsia="楷体" w:cs="楷体"/>
                <w:kern w:val="0"/>
                <w:szCs w:val="21"/>
                <w:lang w:val="zh-CN" w:bidi="zh-CN"/>
              </w:rPr>
              <w:t>合 计</w:t>
            </w:r>
          </w:p>
        </w:tc>
        <w:tc>
          <w:tcPr>
            <w:tcW w:w="1875" w:type="dxa"/>
            <w:tcBorders>
              <w:top w:val="nil"/>
              <w:left w:val="nil"/>
              <w:bottom w:val="single" w:color="auto" w:sz="4" w:space="0"/>
              <w:right w:val="single" w:color="auto" w:sz="4" w:space="0"/>
            </w:tcBorders>
            <w:shd w:val="clear" w:color="000000" w:fill="FFFFFF"/>
            <w:vAlign w:val="center"/>
          </w:tcPr>
          <w:p>
            <w:pPr>
              <w:autoSpaceDE w:val="0"/>
              <w:autoSpaceDN w:val="0"/>
              <w:jc w:val="center"/>
              <w:rPr>
                <w:rFonts w:hint="default" w:ascii="楷体" w:hAnsi="楷体" w:eastAsia="楷体" w:cs="楷体"/>
                <w:kern w:val="0"/>
                <w:szCs w:val="21"/>
                <w:lang w:val="en-US" w:bidi="zh-CN"/>
              </w:rPr>
            </w:pPr>
            <w:r>
              <w:rPr>
                <w:rFonts w:hint="eastAsia" w:ascii="楷体" w:hAnsi="楷体" w:eastAsia="楷体" w:cs="楷体"/>
                <w:kern w:val="0"/>
                <w:szCs w:val="21"/>
                <w:lang w:val="en-US" w:bidi="zh-CN"/>
              </w:rPr>
              <w:t>61.89</w:t>
            </w:r>
          </w:p>
        </w:tc>
        <w:tc>
          <w:tcPr>
            <w:tcW w:w="1875" w:type="dxa"/>
            <w:tcBorders>
              <w:top w:val="nil"/>
              <w:left w:val="nil"/>
              <w:bottom w:val="single" w:color="auto" w:sz="4" w:space="0"/>
              <w:right w:val="single" w:color="auto" w:sz="4" w:space="0"/>
            </w:tcBorders>
            <w:shd w:val="clear" w:color="000000" w:fill="FFFFFF"/>
            <w:vAlign w:val="center"/>
          </w:tcPr>
          <w:p>
            <w:pPr>
              <w:autoSpaceDE w:val="0"/>
              <w:autoSpaceDN w:val="0"/>
              <w:jc w:val="center"/>
              <w:rPr>
                <w:rFonts w:hint="default" w:ascii="楷体" w:hAnsi="楷体" w:eastAsia="楷体" w:cs="楷体"/>
                <w:kern w:val="0"/>
                <w:szCs w:val="21"/>
                <w:lang w:val="en-US" w:bidi="zh-CN"/>
              </w:rPr>
            </w:pPr>
            <w:r>
              <w:rPr>
                <w:rFonts w:hint="eastAsia" w:ascii="楷体" w:hAnsi="楷体" w:eastAsia="楷体" w:cs="楷体"/>
                <w:kern w:val="0"/>
                <w:szCs w:val="21"/>
                <w:lang w:val="en-US" w:bidi="zh-CN"/>
              </w:rPr>
              <w:t>36.13</w:t>
            </w:r>
          </w:p>
        </w:tc>
      </w:tr>
    </w:tbl>
    <w:p>
      <w:pPr>
        <w:autoSpaceDE w:val="0"/>
        <w:autoSpaceDN w:val="0"/>
        <w:spacing w:line="560" w:lineRule="exact"/>
        <w:jc w:val="left"/>
        <w:rPr>
          <w:rFonts w:hint="eastAsia" w:ascii="楷体" w:hAnsi="楷体" w:eastAsia="楷体" w:cs="楷体"/>
          <w:kern w:val="0"/>
          <w:szCs w:val="21"/>
        </w:rPr>
      </w:pPr>
      <w:r>
        <w:rPr>
          <w:rFonts w:hint="eastAsia" w:ascii="楷体" w:hAnsi="楷体" w:eastAsia="楷体" w:cs="楷体"/>
          <w:szCs w:val="21"/>
          <w:lang w:val="zh-CN" w:bidi="zh-CN"/>
        </w:rPr>
        <w:t>注:因公出国(境)费预算实行财政集中管理,不在部门预算中编制。</w:t>
      </w:r>
    </w:p>
    <w:p>
      <w:pPr>
        <w:pStyle w:val="2"/>
      </w:pPr>
    </w:p>
    <w:p>
      <w:pPr>
        <w:keepNext w:val="0"/>
        <w:keepLines w:val="0"/>
        <w:pageBreakBefore w:val="0"/>
        <w:kinsoku/>
        <w:wordWrap/>
        <w:overflowPunct/>
        <w:topLinePunct w:val="0"/>
        <w:bidi w:val="0"/>
        <w:adjustRightInd/>
        <w:spacing w:line="240" w:lineRule="auto"/>
        <w:ind w:right="0" w:rightChars="0" w:firstLine="640" w:firstLineChars="200"/>
        <w:textAlignment w:val="auto"/>
        <w:rPr>
          <w:rFonts w:ascii="Times New Roman" w:hAnsi="Times New Roman" w:eastAsia="方正楷体_GBK" w:cs="Times New Roman"/>
          <w:kern w:val="0"/>
          <w:sz w:val="32"/>
          <w:szCs w:val="32"/>
        </w:rPr>
      </w:pPr>
      <w:r>
        <w:rPr>
          <w:rFonts w:ascii="Times New Roman" w:hAnsi="Times New Roman" w:eastAsia="方正楷体_GBK" w:cs="Times New Roman"/>
          <w:kern w:val="0"/>
          <w:sz w:val="32"/>
          <w:szCs w:val="32"/>
        </w:rPr>
        <w:t>（三）部门绩效目标</w:t>
      </w:r>
    </w:p>
    <w:p>
      <w:pPr>
        <w:keepNext w:val="0"/>
        <w:keepLines w:val="0"/>
        <w:pageBreakBefore w:val="0"/>
        <w:widowControl/>
        <w:kinsoku/>
        <w:wordWrap/>
        <w:overflowPunct/>
        <w:topLinePunct w:val="0"/>
        <w:bidi w:val="0"/>
        <w:adjustRightInd/>
        <w:spacing w:line="240" w:lineRule="auto"/>
        <w:ind w:right="0" w:rightChars="0" w:firstLine="640" w:firstLineChars="200"/>
        <w:textAlignment w:val="auto"/>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1、中长期阶段性目标</w:t>
      </w:r>
    </w:p>
    <w:p>
      <w:pPr>
        <w:keepNext w:val="0"/>
        <w:keepLines w:val="0"/>
        <w:pageBreakBefore w:val="0"/>
        <w:kinsoku/>
        <w:wordWrap/>
        <w:overflowPunct/>
        <w:topLinePunct w:val="0"/>
        <w:bidi w:val="0"/>
        <w:adjustRightInd/>
        <w:spacing w:line="240" w:lineRule="auto"/>
        <w:ind w:right="0" w:rightChars="0" w:firstLine="633" w:firstLineChars="198"/>
        <w:textAlignment w:val="auto"/>
        <w:rPr>
          <w:rFonts w:ascii="Times New Roman" w:hAnsi="Times New Roman" w:eastAsia="方正仿宋_GBK" w:cs="Times New Roman"/>
          <w:sz w:val="32"/>
          <w:szCs w:val="32"/>
        </w:rPr>
      </w:pPr>
      <w:r>
        <w:rPr>
          <w:rFonts w:ascii="Times New Roman" w:hAnsi="Times New Roman" w:eastAsia="方正仿宋_GBK" w:cs="Times New Roman"/>
          <w:sz w:val="32"/>
          <w:szCs w:val="32"/>
        </w:rPr>
        <w:t>当前，国际国内毒品形势依然严峻复杂，传统毒品与新型毒品呈交织叠加之势，我市毒情虽然总体平稳可控，但仍面临着吸毒人员肇事肇祸、新型毒品增多、制毒物品流失等风险。</w:t>
      </w:r>
      <w:r>
        <w:rPr>
          <w:rFonts w:ascii="Times New Roman" w:hAnsi="Times New Roman" w:eastAsia="方正仿宋_GBK" w:cs="Times New Roman"/>
          <w:kern w:val="0"/>
          <w:sz w:val="32"/>
          <w:szCs w:val="32"/>
        </w:rPr>
        <w:t>当前和今后一段时期总的目标是：</w:t>
      </w:r>
      <w:r>
        <w:rPr>
          <w:rFonts w:hint="eastAsia" w:ascii="Times New Roman" w:hAnsi="Times New Roman" w:eastAsia="方正仿宋_GBK" w:cs="Times New Roman"/>
          <w:kern w:val="0"/>
          <w:sz w:val="32"/>
          <w:szCs w:val="32"/>
        </w:rPr>
        <w:t>以习近平新时代中国特色社会主义思想为指导，以构建政府主导、部门协同、公众参与的治理体系为抓手，坚持厉行禁毒方针，健全完善毒品问题治理体系，聚力在健全工作机制、防范涉毒风险、打击毒品犯罪等方面取得新的突出进展和良好成效，持续推进禁毒工作高质量发展</w:t>
      </w:r>
      <w:r>
        <w:rPr>
          <w:rFonts w:ascii="Times New Roman" w:hAnsi="Times New Roman" w:eastAsia="方正仿宋_GBK" w:cs="Times New Roman"/>
          <w:sz w:val="32"/>
          <w:szCs w:val="32"/>
        </w:rPr>
        <w:t>。严控各类支出、严格监督、确保专款专用、无挪用或截留，确保专项资金在年度内全部用于专项工作，经费开支严格按照国家和地方的有关文件规定的标准和范围执行。</w:t>
      </w:r>
    </w:p>
    <w:p>
      <w:pPr>
        <w:keepNext w:val="0"/>
        <w:keepLines w:val="0"/>
        <w:pageBreakBefore w:val="0"/>
        <w:widowControl/>
        <w:kinsoku/>
        <w:wordWrap/>
        <w:overflowPunct/>
        <w:topLinePunct w:val="0"/>
        <w:bidi w:val="0"/>
        <w:adjustRightInd/>
        <w:spacing w:line="240" w:lineRule="auto"/>
        <w:ind w:right="0" w:rightChars="0" w:firstLine="640" w:firstLineChars="200"/>
        <w:textAlignment w:val="auto"/>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2、年度目标</w:t>
      </w:r>
    </w:p>
    <w:p>
      <w:pPr>
        <w:keepNext w:val="0"/>
        <w:keepLines w:val="0"/>
        <w:pageBreakBefore w:val="0"/>
        <w:widowControl/>
        <w:kinsoku/>
        <w:wordWrap/>
        <w:overflowPunct/>
        <w:topLinePunct w:val="0"/>
        <w:bidi w:val="0"/>
        <w:adjustRightInd/>
        <w:spacing w:line="240" w:lineRule="auto"/>
        <w:ind w:right="0" w:rightChars="0" w:firstLine="640" w:firstLineChars="200"/>
        <w:textAlignment w:val="auto"/>
        <w:rPr>
          <w:rFonts w:eastAsia="方正仿宋_GBK"/>
        </w:rPr>
      </w:pPr>
      <w:r>
        <w:rPr>
          <w:rFonts w:hint="eastAsia" w:ascii="Times New Roman" w:hAnsi="Times New Roman" w:eastAsia="方正仿宋_GBK" w:cs="Times New Roman"/>
          <w:kern w:val="0"/>
          <w:sz w:val="32"/>
          <w:szCs w:val="32"/>
        </w:rPr>
        <w:t>全市禁毒部门深入贯彻落实全国和省市公安工作、禁毒工作会议精神要求，以落实主战主防和警种“十个直接”部署为抓手，以禁毒情指行一体化机制为牵引，全面构建禁毒工作六大体系，着力提升打击治理效能，确保全市禁毒工作继续走在全省乃至全国前列。</w:t>
      </w:r>
    </w:p>
    <w:p>
      <w:pPr>
        <w:keepNext w:val="0"/>
        <w:keepLines w:val="0"/>
        <w:pageBreakBefore w:val="0"/>
        <w:widowControl/>
        <w:kinsoku/>
        <w:wordWrap/>
        <w:overflowPunct/>
        <w:topLinePunct w:val="0"/>
        <w:bidi w:val="0"/>
        <w:adjustRightInd/>
        <w:spacing w:line="240" w:lineRule="auto"/>
        <w:ind w:right="0" w:rightChars="0" w:firstLine="640" w:firstLineChars="200"/>
        <w:textAlignment w:val="auto"/>
        <w:rPr>
          <w:rFonts w:ascii="Times New Roman" w:hAnsi="Times New Roman" w:eastAsia="方正黑体_GBK" w:cs="Times New Roman"/>
          <w:kern w:val="0"/>
          <w:sz w:val="32"/>
          <w:szCs w:val="32"/>
        </w:rPr>
      </w:pPr>
      <w:r>
        <w:rPr>
          <w:rFonts w:ascii="Times New Roman" w:hAnsi="Times New Roman" w:eastAsia="方正黑体_GBK" w:cs="Times New Roman"/>
          <w:kern w:val="0"/>
          <w:sz w:val="32"/>
          <w:szCs w:val="32"/>
        </w:rPr>
        <w:t>二、评价结论</w:t>
      </w:r>
    </w:p>
    <w:p>
      <w:pPr>
        <w:keepNext w:val="0"/>
        <w:keepLines w:val="0"/>
        <w:pageBreakBefore w:val="0"/>
        <w:kinsoku/>
        <w:wordWrap/>
        <w:overflowPunct/>
        <w:topLinePunct w:val="0"/>
        <w:bidi w:val="0"/>
        <w:adjustRightInd/>
        <w:spacing w:line="240" w:lineRule="auto"/>
        <w:ind w:right="0" w:rightChars="0" w:firstLine="640" w:firstLineChars="200"/>
        <w:textAlignment w:val="auto"/>
        <w:rPr>
          <w:rFonts w:ascii="Times New Roman" w:hAnsi="Times New Roman" w:eastAsia="方正楷体_GBK" w:cs="Times New Roman"/>
          <w:kern w:val="0"/>
          <w:sz w:val="32"/>
          <w:szCs w:val="32"/>
        </w:rPr>
      </w:pPr>
      <w:r>
        <w:rPr>
          <w:rFonts w:ascii="Times New Roman" w:hAnsi="Times New Roman" w:eastAsia="方正楷体_GBK" w:cs="Times New Roman"/>
          <w:kern w:val="0"/>
          <w:sz w:val="32"/>
          <w:szCs w:val="32"/>
        </w:rPr>
        <w:t>（一）评价对象和目的</w:t>
      </w:r>
    </w:p>
    <w:p>
      <w:pPr>
        <w:keepNext w:val="0"/>
        <w:keepLines w:val="0"/>
        <w:pageBreakBefore w:val="0"/>
        <w:kinsoku/>
        <w:wordWrap/>
        <w:overflowPunct/>
        <w:topLinePunct w:val="0"/>
        <w:bidi w:val="0"/>
        <w:adjustRightInd/>
        <w:spacing w:line="240" w:lineRule="auto"/>
        <w:ind w:right="0" w:rightChars="0" w:firstLine="633" w:firstLineChars="198"/>
        <w:textAlignment w:val="auto"/>
        <w:rPr>
          <w:rFonts w:hint="eastAsia" w:ascii="Times New Roman" w:hAnsi="Times New Roman" w:eastAsia="方正仿宋_GBK" w:cs="Times New Roman"/>
          <w:kern w:val="0"/>
          <w:sz w:val="32"/>
          <w:szCs w:val="32"/>
          <w:lang w:val="en-US" w:eastAsia="zh-CN"/>
        </w:rPr>
      </w:pPr>
      <w:r>
        <w:rPr>
          <w:rFonts w:hint="eastAsia" w:ascii="方正仿宋_GBK" w:hAnsi="方正仿宋_GBK" w:eastAsia="方正仿宋_GBK" w:cs="方正仿宋_GBK"/>
          <w:kern w:val="0"/>
          <w:sz w:val="32"/>
          <w:szCs w:val="32"/>
        </w:rPr>
        <w:t>本次评价对象</w:t>
      </w:r>
      <w:r>
        <w:rPr>
          <w:rFonts w:hint="eastAsia" w:ascii="方正仿宋_GBK" w:hAnsi="方正仿宋_GBK" w:eastAsia="方正仿宋_GBK" w:cs="方正仿宋_GBK"/>
          <w:kern w:val="0"/>
          <w:sz w:val="32"/>
          <w:szCs w:val="32"/>
          <w:lang w:eastAsia="zh-CN"/>
        </w:rPr>
        <w:t>为</w:t>
      </w:r>
      <w:r>
        <w:rPr>
          <w:rFonts w:hint="eastAsia" w:ascii="方正仿宋_GBK" w:hAnsi="方正仿宋_GBK" w:eastAsia="方正仿宋_GBK" w:cs="方正仿宋_GBK"/>
          <w:kern w:val="0"/>
          <w:sz w:val="32"/>
          <w:szCs w:val="32"/>
        </w:rPr>
        <w:t>市财政</w:t>
      </w:r>
      <w:r>
        <w:rPr>
          <w:rFonts w:hint="eastAsia" w:ascii="方正仿宋_GBK" w:hAnsi="方正仿宋_GBK" w:eastAsia="方正仿宋_GBK" w:cs="方正仿宋_GBK"/>
          <w:kern w:val="0"/>
          <w:sz w:val="32"/>
          <w:szCs w:val="32"/>
          <w:lang w:val="zh-CN"/>
        </w:rPr>
        <w:t>2025年</w:t>
      </w:r>
      <w:r>
        <w:rPr>
          <w:rFonts w:hint="eastAsia" w:ascii="方正仿宋_GBK" w:hAnsi="方正仿宋_GBK" w:eastAsia="方正仿宋_GBK" w:cs="方正仿宋_GBK"/>
          <w:kern w:val="0"/>
          <w:sz w:val="32"/>
          <w:szCs w:val="32"/>
        </w:rPr>
        <w:t>安排我部门</w:t>
      </w:r>
      <w:r>
        <w:rPr>
          <w:rFonts w:hint="eastAsia" w:ascii="方正仿宋_GBK" w:hAnsi="方正仿宋_GBK" w:eastAsia="方正仿宋_GBK" w:cs="方正仿宋_GBK"/>
          <w:kern w:val="0"/>
          <w:sz w:val="32"/>
          <w:szCs w:val="32"/>
          <w:lang w:eastAsia="zh-CN"/>
        </w:rPr>
        <w:t>整体资金</w:t>
      </w:r>
      <w:r>
        <w:rPr>
          <w:rFonts w:hint="eastAsia" w:ascii="方正仿宋_GBK" w:hAnsi="方正仿宋_GBK" w:eastAsia="方正仿宋_GBK" w:cs="方正仿宋_GBK"/>
          <w:kern w:val="0"/>
          <w:sz w:val="32"/>
          <w:szCs w:val="32"/>
          <w:lang w:val="en-US" w:eastAsia="zh-CN"/>
        </w:rPr>
        <w:t>3812.06万元。</w:t>
      </w:r>
      <w:r>
        <w:rPr>
          <w:rFonts w:hint="eastAsia" w:ascii="Times New Roman" w:hAnsi="Times New Roman" w:eastAsia="方正仿宋_GBK" w:cs="Times New Roman"/>
          <w:sz w:val="32"/>
          <w:szCs w:val="32"/>
          <w:lang w:eastAsia="zh-CN"/>
        </w:rPr>
        <w:t>2025</w:t>
      </w:r>
      <w:r>
        <w:rPr>
          <w:rFonts w:ascii="Times New Roman" w:hAnsi="Times New Roman" w:eastAsia="方正仿宋_GBK" w:cs="Times New Roman"/>
          <w:sz w:val="32"/>
          <w:szCs w:val="32"/>
        </w:rPr>
        <w:t>年度</w:t>
      </w:r>
      <w:r>
        <w:rPr>
          <w:rFonts w:hint="eastAsia" w:ascii="Times New Roman" w:hAnsi="Times New Roman" w:eastAsia="方正仿宋_GBK" w:cs="Times New Roman"/>
          <w:sz w:val="32"/>
          <w:szCs w:val="32"/>
          <w:lang w:val="en-US" w:eastAsia="zh-CN"/>
        </w:rPr>
        <w:t>年初</w:t>
      </w:r>
      <w:r>
        <w:rPr>
          <w:rFonts w:ascii="Times New Roman" w:hAnsi="Times New Roman" w:eastAsia="方正仿宋_GBK" w:cs="Times New Roman"/>
          <w:sz w:val="32"/>
          <w:szCs w:val="32"/>
        </w:rPr>
        <w:t>预算数为</w:t>
      </w:r>
      <w:r>
        <w:rPr>
          <w:rFonts w:hint="eastAsia" w:ascii="Times New Roman" w:hAnsi="Times New Roman" w:eastAsia="方正仿宋_GBK" w:cs="Times New Roman"/>
          <w:sz w:val="32"/>
          <w:szCs w:val="32"/>
          <w:lang w:val="en-US" w:eastAsia="zh-CN"/>
        </w:rPr>
        <w:t>3332.86</w:t>
      </w:r>
      <w:r>
        <w:rPr>
          <w:rFonts w:ascii="Times New Roman" w:hAnsi="Times New Roman" w:eastAsia="方正仿宋_GBK" w:cs="Times New Roman"/>
          <w:sz w:val="32"/>
          <w:szCs w:val="32"/>
        </w:rPr>
        <w:t>万元，其中</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基本支出</w:t>
      </w:r>
      <w:r>
        <w:rPr>
          <w:rFonts w:hint="eastAsia" w:ascii="Times New Roman" w:hAnsi="Times New Roman" w:eastAsia="方正仿宋_GBK" w:cs="Times New Roman"/>
          <w:sz w:val="32"/>
          <w:szCs w:val="32"/>
          <w:lang w:val="en-US" w:eastAsia="zh-CN"/>
        </w:rPr>
        <w:t>2977.88</w:t>
      </w:r>
      <w:r>
        <w:rPr>
          <w:rFonts w:ascii="Times New Roman" w:hAnsi="Times New Roman" w:eastAsia="方正仿宋_GBK" w:cs="Times New Roman"/>
          <w:sz w:val="32"/>
          <w:szCs w:val="32"/>
        </w:rPr>
        <w:t>万元，项目支出</w:t>
      </w:r>
      <w:r>
        <w:rPr>
          <w:rFonts w:hint="eastAsia" w:ascii="Times New Roman" w:hAnsi="Times New Roman" w:eastAsia="方正仿宋_GBK" w:cs="Times New Roman"/>
          <w:sz w:val="32"/>
          <w:szCs w:val="32"/>
          <w:lang w:val="en-US" w:eastAsia="zh-CN"/>
        </w:rPr>
        <w:t>354.98</w:t>
      </w:r>
      <w:r>
        <w:rPr>
          <w:rFonts w:ascii="Times New Roman" w:hAnsi="Times New Roman" w:eastAsia="方正仿宋_GBK" w:cs="Times New Roman"/>
          <w:sz w:val="32"/>
          <w:szCs w:val="32"/>
        </w:rPr>
        <w:t>万元。</w:t>
      </w:r>
      <w:r>
        <w:rPr>
          <w:rFonts w:hint="eastAsia" w:ascii="Times New Roman" w:hAnsi="Times New Roman" w:eastAsia="方正仿宋_GBK" w:cs="Times New Roman"/>
          <w:sz w:val="32"/>
          <w:szCs w:val="32"/>
          <w:lang w:eastAsia="zh-CN"/>
        </w:rPr>
        <w:t>2025</w:t>
      </w:r>
      <w:r>
        <w:rPr>
          <w:rFonts w:ascii="Times New Roman" w:hAnsi="Times New Roman" w:eastAsia="方正仿宋_GBK" w:cs="Times New Roman"/>
          <w:sz w:val="32"/>
          <w:szCs w:val="32"/>
        </w:rPr>
        <w:t>年度</w:t>
      </w:r>
      <w:r>
        <w:rPr>
          <w:rFonts w:hint="eastAsia" w:ascii="Times New Roman" w:hAnsi="Times New Roman" w:eastAsia="方正仿宋_GBK" w:cs="Times New Roman"/>
          <w:sz w:val="32"/>
          <w:szCs w:val="32"/>
          <w:lang w:val="en-US" w:eastAsia="zh-CN"/>
        </w:rPr>
        <w:t>调</w:t>
      </w:r>
      <w:r>
        <w:rPr>
          <w:rFonts w:hint="eastAsia" w:ascii="Times New Roman" w:hAnsi="Times New Roman" w:eastAsia="方正仿宋_GBK" w:cs="Times New Roman"/>
          <w:kern w:val="0"/>
          <w:sz w:val="32"/>
          <w:szCs w:val="32"/>
          <w:lang w:val="en-US" w:eastAsia="zh-CN"/>
        </w:rPr>
        <w:t>整预算</w:t>
      </w:r>
      <w:r>
        <w:rPr>
          <w:rFonts w:hint="eastAsia" w:ascii="Times New Roman" w:hAnsi="Times New Roman" w:eastAsia="方正仿宋_GBK" w:cs="Times New Roman"/>
          <w:kern w:val="0"/>
          <w:sz w:val="32"/>
          <w:szCs w:val="32"/>
        </w:rPr>
        <w:t>总收入</w:t>
      </w:r>
      <w:r>
        <w:rPr>
          <w:rFonts w:hint="eastAsia" w:ascii="Times New Roman" w:hAnsi="Times New Roman" w:eastAsia="方正仿宋_GBK" w:cs="Times New Roman"/>
          <w:kern w:val="0"/>
          <w:sz w:val="32"/>
          <w:szCs w:val="32"/>
          <w:lang w:val="en-US" w:eastAsia="zh-CN"/>
        </w:rPr>
        <w:t>3812.06</w:t>
      </w:r>
      <w:r>
        <w:rPr>
          <w:rFonts w:hint="eastAsia" w:ascii="Times New Roman" w:hAnsi="Times New Roman" w:eastAsia="方正仿宋_GBK" w:cs="Times New Roman"/>
          <w:kern w:val="0"/>
          <w:sz w:val="32"/>
          <w:szCs w:val="32"/>
        </w:rPr>
        <w:t>万元，其中：基本支出</w:t>
      </w:r>
      <w:r>
        <w:rPr>
          <w:rFonts w:hint="eastAsia" w:ascii="Times New Roman" w:hAnsi="Times New Roman" w:eastAsia="方正仿宋_GBK" w:cs="Times New Roman"/>
          <w:kern w:val="0"/>
          <w:sz w:val="32"/>
          <w:szCs w:val="32"/>
          <w:lang w:val="en-US" w:eastAsia="zh-CN"/>
        </w:rPr>
        <w:t>3141.59</w:t>
      </w:r>
      <w:r>
        <w:rPr>
          <w:rFonts w:hint="eastAsia" w:ascii="Times New Roman" w:hAnsi="Times New Roman" w:eastAsia="方正仿宋_GBK" w:cs="Times New Roman"/>
          <w:kern w:val="0"/>
          <w:sz w:val="32"/>
          <w:szCs w:val="32"/>
        </w:rPr>
        <w:t>万元，项目支出</w:t>
      </w:r>
      <w:r>
        <w:rPr>
          <w:rFonts w:hint="eastAsia" w:ascii="Times New Roman" w:hAnsi="Times New Roman" w:eastAsia="方正仿宋_GBK" w:cs="Times New Roman"/>
          <w:kern w:val="0"/>
          <w:sz w:val="32"/>
          <w:szCs w:val="32"/>
          <w:lang w:val="en-US" w:eastAsia="zh-CN"/>
        </w:rPr>
        <w:t>670.47</w:t>
      </w:r>
      <w:r>
        <w:rPr>
          <w:rFonts w:hint="eastAsia" w:ascii="Times New Roman" w:hAnsi="Times New Roman" w:eastAsia="方正仿宋_GBK" w:cs="Times New Roman"/>
          <w:kern w:val="0"/>
          <w:sz w:val="32"/>
          <w:szCs w:val="32"/>
        </w:rPr>
        <w:t>万元。</w:t>
      </w:r>
      <w:r>
        <w:rPr>
          <w:rFonts w:hint="eastAsia" w:ascii="Times New Roman" w:hAnsi="Times New Roman" w:eastAsia="方正仿宋_GBK" w:cs="Times New Roman"/>
          <w:kern w:val="0"/>
          <w:sz w:val="32"/>
          <w:szCs w:val="32"/>
          <w:lang w:eastAsia="zh-CN"/>
        </w:rPr>
        <w:t>2025</w:t>
      </w:r>
      <w:r>
        <w:rPr>
          <w:rFonts w:hint="eastAsia" w:ascii="Times New Roman" w:hAnsi="Times New Roman" w:eastAsia="方正仿宋_GBK" w:cs="Times New Roman"/>
          <w:kern w:val="0"/>
          <w:sz w:val="32"/>
          <w:szCs w:val="32"/>
        </w:rPr>
        <w:t>年度部门决算总支出</w:t>
      </w:r>
      <w:r>
        <w:rPr>
          <w:rFonts w:hint="eastAsia" w:ascii="Times New Roman" w:hAnsi="Times New Roman" w:eastAsia="方正仿宋_GBK" w:cs="Times New Roman"/>
          <w:kern w:val="0"/>
          <w:sz w:val="32"/>
          <w:szCs w:val="32"/>
          <w:lang w:val="en-US" w:eastAsia="zh-CN"/>
        </w:rPr>
        <w:t>3812.06</w:t>
      </w:r>
      <w:r>
        <w:rPr>
          <w:rFonts w:hint="eastAsia" w:ascii="Times New Roman" w:hAnsi="Times New Roman" w:eastAsia="方正仿宋_GBK" w:cs="Times New Roman"/>
          <w:kern w:val="0"/>
          <w:sz w:val="32"/>
          <w:szCs w:val="32"/>
        </w:rPr>
        <w:t>万元，其中：基本支出</w:t>
      </w:r>
      <w:r>
        <w:rPr>
          <w:rFonts w:hint="eastAsia" w:ascii="Times New Roman" w:hAnsi="Times New Roman" w:eastAsia="方正仿宋_GBK" w:cs="Times New Roman"/>
          <w:kern w:val="0"/>
          <w:sz w:val="32"/>
          <w:szCs w:val="32"/>
          <w:lang w:val="en-US" w:eastAsia="zh-CN"/>
        </w:rPr>
        <w:t>3141.59</w:t>
      </w:r>
      <w:r>
        <w:rPr>
          <w:rFonts w:hint="eastAsia" w:ascii="Times New Roman" w:hAnsi="Times New Roman" w:eastAsia="方正仿宋_GBK" w:cs="Times New Roman"/>
          <w:kern w:val="0"/>
          <w:sz w:val="32"/>
          <w:szCs w:val="32"/>
        </w:rPr>
        <w:t>万元，项目支出</w:t>
      </w:r>
      <w:r>
        <w:rPr>
          <w:rFonts w:hint="eastAsia" w:ascii="Times New Roman" w:hAnsi="Times New Roman" w:eastAsia="方正仿宋_GBK" w:cs="Times New Roman"/>
          <w:kern w:val="0"/>
          <w:sz w:val="32"/>
          <w:szCs w:val="32"/>
          <w:lang w:val="en-US" w:eastAsia="zh-CN"/>
        </w:rPr>
        <w:t>670.47</w:t>
      </w:r>
      <w:r>
        <w:rPr>
          <w:rFonts w:hint="eastAsia" w:ascii="Times New Roman" w:hAnsi="Times New Roman" w:eastAsia="方正仿宋_GBK" w:cs="Times New Roman"/>
          <w:kern w:val="0"/>
          <w:sz w:val="32"/>
          <w:szCs w:val="32"/>
        </w:rPr>
        <w:t>万元。</w:t>
      </w:r>
      <w:r>
        <w:rPr>
          <w:rFonts w:hint="eastAsia" w:ascii="Times New Roman" w:hAnsi="Times New Roman" w:eastAsia="方正仿宋_GBK" w:cs="Times New Roman"/>
          <w:kern w:val="0"/>
          <w:sz w:val="32"/>
          <w:szCs w:val="32"/>
          <w:lang w:val="zh-CN"/>
        </w:rPr>
        <w:t>重点关注公安禁毒工作专项经费</w:t>
      </w:r>
      <w:r>
        <w:rPr>
          <w:rFonts w:hint="eastAsia" w:ascii="Times New Roman" w:hAnsi="Times New Roman" w:eastAsia="方正仿宋_GBK" w:cs="Times New Roman"/>
          <w:kern w:val="0"/>
          <w:sz w:val="32"/>
          <w:szCs w:val="32"/>
          <w:lang w:val="en-US" w:eastAsia="zh-CN"/>
        </w:rPr>
        <w:t>。评价时段为2025年1月1日至12月31日。</w:t>
      </w:r>
    </w:p>
    <w:p>
      <w:pPr>
        <w:keepNext w:val="0"/>
        <w:keepLines w:val="0"/>
        <w:pageBreakBefore w:val="0"/>
        <w:kinsoku/>
        <w:wordWrap/>
        <w:overflowPunct/>
        <w:topLinePunct w:val="0"/>
        <w:bidi w:val="0"/>
        <w:adjustRightInd/>
        <w:spacing w:line="240" w:lineRule="auto"/>
        <w:ind w:right="0" w:rightChars="0" w:firstLine="633" w:firstLineChars="198"/>
        <w:textAlignment w:val="auto"/>
        <w:rPr>
          <w:rFonts w:ascii="Times New Roman" w:hAnsi="Times New Roman" w:eastAsia="方正仿宋_GBK" w:cs="Times New Roman"/>
          <w:sz w:val="32"/>
          <w:szCs w:val="32"/>
        </w:rPr>
      </w:pPr>
      <w:r>
        <w:rPr>
          <w:rFonts w:hint="eastAsia" w:ascii="Times New Roman" w:hAnsi="Times New Roman" w:eastAsia="方正仿宋_GBK" w:cs="Times New Roman"/>
          <w:kern w:val="0"/>
          <w:sz w:val="32"/>
          <w:szCs w:val="32"/>
        </w:rPr>
        <w:t>通过对市财政</w:t>
      </w:r>
      <w:r>
        <w:rPr>
          <w:rFonts w:hint="eastAsia" w:ascii="Times New Roman" w:hAnsi="Times New Roman" w:eastAsia="方正仿宋_GBK" w:cs="Times New Roman"/>
          <w:sz w:val="32"/>
          <w:szCs w:val="32"/>
          <w:lang w:eastAsia="zh-CN"/>
        </w:rPr>
        <w:t>2025</w:t>
      </w:r>
      <w:r>
        <w:rPr>
          <w:rFonts w:ascii="Times New Roman" w:hAnsi="Times New Roman" w:eastAsia="方正仿宋_GBK" w:cs="Times New Roman"/>
          <w:sz w:val="32"/>
          <w:szCs w:val="32"/>
        </w:rPr>
        <w:t>年度安排我支队的预算配置、预算资金管理、资产管理、职责履行、履职效益等内容的绩效考评，提高财政资金的使用效率，为财政部门预算管理提供决策依据。</w:t>
      </w:r>
    </w:p>
    <w:p>
      <w:pPr>
        <w:keepNext w:val="0"/>
        <w:keepLines w:val="0"/>
        <w:pageBreakBefore w:val="0"/>
        <w:kinsoku/>
        <w:wordWrap/>
        <w:overflowPunct/>
        <w:topLinePunct w:val="0"/>
        <w:bidi w:val="0"/>
        <w:adjustRightInd/>
        <w:spacing w:line="240" w:lineRule="auto"/>
        <w:ind w:right="0" w:rightChars="0" w:firstLine="640" w:firstLineChars="200"/>
        <w:textAlignment w:val="auto"/>
        <w:rPr>
          <w:rFonts w:ascii="Times New Roman" w:hAnsi="Times New Roman" w:eastAsia="方正楷体_GBK" w:cs="Times New Roman"/>
          <w:kern w:val="0"/>
          <w:sz w:val="32"/>
          <w:szCs w:val="32"/>
        </w:rPr>
      </w:pPr>
      <w:r>
        <w:rPr>
          <w:rFonts w:ascii="Times New Roman" w:hAnsi="Times New Roman" w:eastAsia="方正楷体_GBK" w:cs="Times New Roman"/>
          <w:kern w:val="0"/>
          <w:sz w:val="32"/>
          <w:szCs w:val="32"/>
        </w:rPr>
        <w:t>（二）评价原则和方法</w:t>
      </w:r>
    </w:p>
    <w:p>
      <w:pPr>
        <w:keepNext w:val="0"/>
        <w:keepLines w:val="0"/>
        <w:pageBreakBefore w:val="0"/>
        <w:kinsoku/>
        <w:wordWrap/>
        <w:overflowPunct/>
        <w:topLinePunct w:val="0"/>
        <w:bidi w:val="0"/>
        <w:adjustRightInd/>
        <w:spacing w:line="240" w:lineRule="auto"/>
        <w:ind w:right="0" w:rightChars="0" w:firstLine="640" w:firstLineChars="200"/>
        <w:textAlignment w:val="auto"/>
        <w:rPr>
          <w:rFonts w:ascii="Times New Roman" w:hAnsi="Times New Roman" w:eastAsia="方正楷体_GBK" w:cs="Times New Roman"/>
          <w:kern w:val="0"/>
          <w:sz w:val="32"/>
          <w:szCs w:val="32"/>
        </w:rPr>
      </w:pPr>
      <w:r>
        <w:rPr>
          <w:rFonts w:ascii="Times New Roman" w:hAnsi="Times New Roman" w:eastAsia="方正仿宋_GBK" w:cs="Times New Roman"/>
          <w:sz w:val="32"/>
          <w:szCs w:val="32"/>
        </w:rPr>
        <w:t>遵循客观公正，操作简便高效，尊重客观实际，实事求是的原则；主要采用因素分析法、投入产出效益分析法、比较法等方法。</w:t>
      </w:r>
    </w:p>
    <w:p>
      <w:pPr>
        <w:keepNext w:val="0"/>
        <w:keepLines w:val="0"/>
        <w:pageBreakBefore w:val="0"/>
        <w:kinsoku/>
        <w:wordWrap/>
        <w:overflowPunct/>
        <w:topLinePunct w:val="0"/>
        <w:bidi w:val="0"/>
        <w:adjustRightInd/>
        <w:spacing w:line="240" w:lineRule="auto"/>
        <w:ind w:right="0" w:rightChars="0" w:firstLine="640" w:firstLineChars="200"/>
        <w:textAlignment w:val="auto"/>
        <w:rPr>
          <w:rFonts w:ascii="Times New Roman" w:hAnsi="Times New Roman" w:eastAsia="方正楷体_GBK" w:cs="Times New Roman"/>
          <w:kern w:val="0"/>
          <w:sz w:val="32"/>
          <w:szCs w:val="32"/>
        </w:rPr>
      </w:pPr>
      <w:r>
        <w:rPr>
          <w:rFonts w:ascii="Times New Roman" w:hAnsi="Times New Roman" w:eastAsia="方正楷体_GBK" w:cs="Times New Roman"/>
          <w:kern w:val="0"/>
          <w:sz w:val="32"/>
          <w:szCs w:val="32"/>
        </w:rPr>
        <w:t>（三）评价结论</w:t>
      </w:r>
    </w:p>
    <w:p>
      <w:pPr>
        <w:keepNext w:val="0"/>
        <w:keepLines w:val="0"/>
        <w:pageBreakBefore w:val="0"/>
        <w:kinsoku/>
        <w:wordWrap/>
        <w:overflowPunct/>
        <w:topLinePunct w:val="0"/>
        <w:bidi w:val="0"/>
        <w:adjustRightInd/>
        <w:spacing w:line="240" w:lineRule="auto"/>
        <w:ind w:right="0" w:rightChars="0" w:firstLine="633" w:firstLineChars="198"/>
        <w:textAlignment w:val="auto"/>
        <w:rPr>
          <w:rFonts w:hint="eastAsia"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lang w:eastAsia="zh-CN"/>
        </w:rPr>
        <w:t>2025</w:t>
      </w:r>
      <w:r>
        <w:rPr>
          <w:rFonts w:hint="eastAsia" w:ascii="Times New Roman" w:hAnsi="Times New Roman" w:eastAsia="方正仿宋_GBK" w:cs="Times New Roman"/>
          <w:kern w:val="0"/>
          <w:sz w:val="32"/>
          <w:szCs w:val="32"/>
        </w:rPr>
        <w:t>年，支队在市局党委的坚强领导下，以提高平安南京首位度为主线，开拓思路，坚持创新，继续保持对毒品犯罪的高压打击，开辟缉毒打处绩效新增长点；继续保持预防教育宣传品牌影响力，带动社会各界积极参与；继续保持禁吸戒毒工作力度，做好基础管控重点工作；继续保持队伍建设高质量发展，打造高素质专业化实战部门，努力推动我市禁毒工作向更高层次迈进。</w:t>
      </w:r>
    </w:p>
    <w:p>
      <w:pPr>
        <w:keepNext w:val="0"/>
        <w:keepLines w:val="0"/>
        <w:pageBreakBefore w:val="0"/>
        <w:kinsoku/>
        <w:wordWrap/>
        <w:overflowPunct/>
        <w:topLinePunct w:val="0"/>
        <w:bidi w:val="0"/>
        <w:adjustRightInd/>
        <w:spacing w:line="240" w:lineRule="auto"/>
        <w:ind w:right="0" w:rightChars="0" w:firstLine="633" w:firstLineChars="198"/>
        <w:textAlignment w:val="auto"/>
        <w:rPr>
          <w:rFonts w:ascii="Times New Roman" w:hAnsi="Times New Roman" w:eastAsia="方正仿宋_GBK" w:cs="Times New Roman"/>
          <w:color w:val="000000" w:themeColor="text1"/>
          <w:sz w:val="32"/>
          <w:szCs w:val="32"/>
          <w14:textFill>
            <w14:solidFill>
              <w14:schemeClr w14:val="tx1"/>
            </w14:solidFill>
          </w14:textFill>
        </w:rPr>
      </w:pPr>
      <w:r>
        <w:rPr>
          <w:rFonts w:hint="eastAsia" w:ascii="Times New Roman" w:hAnsi="Times New Roman" w:eastAsia="方正仿宋_GBK" w:cs="Times New Roman"/>
          <w:kern w:val="0"/>
          <w:sz w:val="32"/>
          <w:szCs w:val="32"/>
          <w:lang w:val="en-US" w:eastAsia="zh-CN"/>
        </w:rPr>
        <w:t>经综合评价，2025年度南京市公安局禁毒支队整体绩效评价得分98分，等级为“优”。</w:t>
      </w:r>
    </w:p>
    <w:p>
      <w:pPr>
        <w:keepNext w:val="0"/>
        <w:keepLines w:val="0"/>
        <w:pageBreakBefore w:val="0"/>
        <w:widowControl/>
        <w:kinsoku/>
        <w:wordWrap/>
        <w:overflowPunct/>
        <w:topLinePunct w:val="0"/>
        <w:bidi w:val="0"/>
        <w:adjustRightInd/>
        <w:spacing w:line="240" w:lineRule="auto"/>
        <w:ind w:right="0" w:rightChars="0" w:firstLine="640" w:firstLineChars="200"/>
        <w:textAlignment w:val="auto"/>
        <w:rPr>
          <w:rFonts w:ascii="Times New Roman" w:hAnsi="Times New Roman" w:eastAsia="方正黑体_GBK" w:cs="Times New Roman"/>
          <w:kern w:val="0"/>
          <w:sz w:val="32"/>
          <w:szCs w:val="32"/>
        </w:rPr>
      </w:pPr>
      <w:r>
        <w:rPr>
          <w:rFonts w:ascii="Times New Roman" w:hAnsi="Times New Roman" w:eastAsia="方正黑体_GBK" w:cs="Times New Roman"/>
          <w:kern w:val="0"/>
          <w:sz w:val="32"/>
          <w:szCs w:val="32"/>
        </w:rPr>
        <w:t>三、部门履职成效</w:t>
      </w:r>
    </w:p>
    <w:p>
      <w:pPr>
        <w:pStyle w:val="12"/>
        <w:keepNext w:val="0"/>
        <w:keepLines w:val="0"/>
        <w:pageBreakBefore w:val="0"/>
        <w:kinsoku/>
        <w:wordWrap/>
        <w:overflowPunct/>
        <w:topLinePunct w:val="0"/>
        <w:bidi w:val="0"/>
        <w:adjustRightInd/>
        <w:spacing w:line="240" w:lineRule="auto"/>
        <w:ind w:right="0" w:rightChars="0" w:firstLine="640" w:firstLineChars="200"/>
        <w:textAlignment w:val="auto"/>
        <w:rPr>
          <w:rFonts w:ascii="Times New Roman" w:hAnsi="Times New Roman" w:eastAsia="方正仿宋_GBK" w:cs="Times New Roman"/>
          <w:sz w:val="32"/>
          <w:szCs w:val="32"/>
        </w:rPr>
      </w:pPr>
      <w:r>
        <w:rPr>
          <w:rFonts w:eastAsia="方正仿宋_GBK"/>
        </w:rPr>
        <w:t>今年以来，全市禁毒部门坚持预防为本的理念，在禁毒进校园、社会面禁毒宣传、自媒体推广及文创产品制作等方面多路推进，打造全方位禁毒宣传体系架构，有效提升广大群众禁绝毒品的意识，维护社会治安持续安全稳定。</w:t>
      </w:r>
      <w:r>
        <w:rPr>
          <w:rFonts w:hint="eastAsia" w:eastAsia="方正仿宋_GBK"/>
          <w:lang w:val="en-US" w:eastAsia="zh-CN"/>
        </w:rPr>
        <w:t>同时，</w:t>
      </w:r>
      <w:r>
        <w:rPr>
          <w:rFonts w:hint="eastAsia" w:eastAsia="方正仿宋_GBK"/>
        </w:rPr>
        <w:t>持续优化禁毒情指行一体化运行机制</w:t>
      </w:r>
      <w:r>
        <w:rPr>
          <w:rFonts w:hint="eastAsia" w:eastAsia="方正仿宋_GBK"/>
          <w:lang w:eastAsia="zh-CN"/>
        </w:rPr>
        <w:t>，</w:t>
      </w:r>
      <w:r>
        <w:rPr>
          <w:rFonts w:hint="eastAsia" w:eastAsia="方正仿宋_GBK"/>
        </w:rPr>
        <w:t>形成全局上下一体、整体作战的良好态势</w:t>
      </w:r>
      <w:r>
        <w:rPr>
          <w:rFonts w:hint="eastAsia" w:eastAsia="方正仿宋_GBK"/>
          <w:lang w:eastAsia="zh-CN"/>
        </w:rPr>
        <w:t>；</w:t>
      </w:r>
      <w:r>
        <w:rPr>
          <w:rFonts w:hint="eastAsia" w:eastAsia="方正仿宋_GBK"/>
        </w:rPr>
        <w:t>加强缉毒破案精准</w:t>
      </w:r>
      <w:r>
        <w:rPr>
          <w:rFonts w:hint="eastAsia" w:eastAsia="方正仿宋_GBK"/>
          <w:lang w:val="en-US" w:eastAsia="zh-CN"/>
        </w:rPr>
        <w:t>打击</w:t>
      </w:r>
      <w:r>
        <w:rPr>
          <w:rFonts w:hint="eastAsia" w:eastAsia="方正仿宋_GBK"/>
          <w:lang w:eastAsia="zh-CN"/>
        </w:rPr>
        <w:t>，</w:t>
      </w:r>
      <w:r>
        <w:rPr>
          <w:rFonts w:eastAsia="方正仿宋_GBK"/>
        </w:rPr>
        <w:t>上下贯通、合成作战，</w:t>
      </w:r>
      <w:r>
        <w:rPr>
          <w:rFonts w:hint="eastAsia" w:eastAsia="方正仿宋_GBK"/>
        </w:rPr>
        <w:t>实施专项打击、规模打击、全链条打击，推动禁毒破案攻坚行动绩效持续提升</w:t>
      </w:r>
      <w:r>
        <w:rPr>
          <w:rFonts w:hint="eastAsia" w:eastAsia="方正仿宋_GBK"/>
          <w:lang w:eastAsia="zh-CN"/>
        </w:rPr>
        <w:t>；</w:t>
      </w:r>
      <w:r>
        <w:rPr>
          <w:rFonts w:hint="eastAsia" w:eastAsia="方正仿宋_GBK"/>
        </w:rPr>
        <w:t>加强禁毒科技创新应用</w:t>
      </w:r>
      <w:r>
        <w:rPr>
          <w:rFonts w:hint="eastAsia" w:eastAsia="方正仿宋_GBK"/>
          <w:lang w:eastAsia="zh-CN"/>
        </w:rPr>
        <w:t>，</w:t>
      </w:r>
      <w:r>
        <w:rPr>
          <w:rFonts w:hint="eastAsia" w:eastAsia="方正仿宋_GBK"/>
        </w:rPr>
        <w:t>积极开展新型毒品及替代物检测方法研究，推动实验室科技能</w:t>
      </w:r>
      <w:r>
        <w:rPr>
          <w:rFonts w:hint="eastAsia" w:ascii="Times New Roman" w:hAnsi="Times New Roman" w:eastAsia="方正仿宋_GBK" w:cs="Times New Roman"/>
        </w:rPr>
        <w:t>力处于全国领先位置</w:t>
      </w:r>
      <w:r>
        <w:rPr>
          <w:rFonts w:hint="eastAsia" w:ascii="Times New Roman" w:hAnsi="Times New Roman" w:eastAsia="方正仿宋_GBK" w:cs="Times New Roman"/>
          <w:lang w:eastAsia="zh-CN"/>
        </w:rPr>
        <w:t>；</w:t>
      </w:r>
      <w:r>
        <w:rPr>
          <w:rFonts w:hint="eastAsia" w:ascii="Times New Roman" w:hAnsi="Times New Roman" w:eastAsia="方正仿宋_GBK" w:cs="Times New Roman"/>
        </w:rPr>
        <w:t>加强禁毒队伍专业化技能培训提升</w:t>
      </w:r>
      <w:r>
        <w:rPr>
          <w:rFonts w:hint="eastAsia" w:ascii="Times New Roman" w:hAnsi="Times New Roman" w:eastAsia="方正仿宋_GBK" w:cs="Times New Roman"/>
          <w:lang w:eastAsia="zh-CN"/>
        </w:rPr>
        <w:t>，</w:t>
      </w:r>
      <w:r>
        <w:rPr>
          <w:rFonts w:hint="eastAsia" w:ascii="Times New Roman" w:hAnsi="Times New Roman" w:eastAsia="方正仿宋_GBK" w:cs="Times New Roman"/>
        </w:rPr>
        <w:t>加强导侦新课题钻研和数据赋能新模型构建，提高研判和打击的精准度。合理经费安排</w:t>
      </w:r>
      <w:r>
        <w:rPr>
          <w:rFonts w:hint="eastAsia" w:ascii="Times New Roman" w:hAnsi="Times New Roman" w:eastAsia="方正仿宋_GBK" w:cs="Times New Roman"/>
          <w:lang w:val="en-US" w:eastAsia="zh-CN"/>
        </w:rPr>
        <w:t>提升</w:t>
      </w:r>
      <w:r>
        <w:rPr>
          <w:rFonts w:hint="eastAsia" w:ascii="Times New Roman" w:hAnsi="Times New Roman" w:eastAsia="方正仿宋_GBK" w:cs="Times New Roman"/>
        </w:rPr>
        <w:t>社会效益</w:t>
      </w:r>
      <w:r>
        <w:rPr>
          <w:rFonts w:hint="eastAsia" w:ascii="Times New Roman" w:hAnsi="Times New Roman" w:eastAsia="方正仿宋_GBK" w:cs="Times New Roman"/>
          <w:lang w:eastAsia="zh-CN"/>
        </w:rPr>
        <w:t>，2025</w:t>
      </w:r>
      <w:r>
        <w:rPr>
          <w:rFonts w:hint="eastAsia" w:ascii="Times New Roman" w:hAnsi="Times New Roman" w:eastAsia="方正仿宋_GBK" w:cs="Times New Roman"/>
        </w:rPr>
        <w:t>年度部门决算总支出</w:t>
      </w:r>
      <w:r>
        <w:rPr>
          <w:rFonts w:hint="eastAsia" w:ascii="Times New Roman" w:hAnsi="Times New Roman" w:eastAsia="方正仿宋_GBK" w:cs="Times New Roman"/>
          <w:lang w:val="en-US" w:eastAsia="zh-CN"/>
        </w:rPr>
        <w:t>3812.06</w:t>
      </w:r>
      <w:r>
        <w:rPr>
          <w:rFonts w:hint="eastAsia" w:ascii="Times New Roman" w:hAnsi="Times New Roman" w:eastAsia="方正仿宋_GBK" w:cs="Times New Roman"/>
        </w:rPr>
        <w:t>万元，其中：基本支出</w:t>
      </w:r>
      <w:r>
        <w:rPr>
          <w:rFonts w:hint="eastAsia" w:ascii="Times New Roman" w:hAnsi="Times New Roman" w:eastAsia="方正仿宋_GBK" w:cs="Times New Roman"/>
          <w:lang w:val="en-US" w:eastAsia="zh-CN"/>
        </w:rPr>
        <w:t>3141.59</w:t>
      </w:r>
      <w:r>
        <w:rPr>
          <w:rFonts w:hint="eastAsia" w:ascii="Times New Roman" w:hAnsi="Times New Roman" w:eastAsia="方正仿宋_GBK" w:cs="Times New Roman"/>
        </w:rPr>
        <w:t>万元，项目支出</w:t>
      </w:r>
      <w:r>
        <w:rPr>
          <w:rFonts w:hint="eastAsia" w:ascii="Times New Roman" w:hAnsi="Times New Roman" w:eastAsia="方正仿宋_GBK" w:cs="Times New Roman"/>
          <w:lang w:val="en-US" w:eastAsia="zh-CN"/>
        </w:rPr>
        <w:t>670.47</w:t>
      </w:r>
      <w:r>
        <w:rPr>
          <w:rFonts w:hint="eastAsia" w:ascii="Times New Roman" w:hAnsi="Times New Roman" w:eastAsia="方正仿宋_GBK" w:cs="Times New Roman"/>
        </w:rPr>
        <w:t>万元。除支队平时正常运转外，资金大部分投向禁毒办案一线和禁毒社区防范，用于维护社会稳定，打击犯罪的实战工作，取得了较好的成果。</w:t>
      </w:r>
    </w:p>
    <w:p>
      <w:pPr>
        <w:keepNext w:val="0"/>
        <w:keepLines w:val="0"/>
        <w:pageBreakBefore w:val="0"/>
        <w:kinsoku/>
        <w:wordWrap/>
        <w:overflowPunct/>
        <w:topLinePunct w:val="0"/>
        <w:bidi w:val="0"/>
        <w:adjustRightInd/>
        <w:spacing w:line="240" w:lineRule="auto"/>
        <w:ind w:right="0" w:rightChars="0" w:firstLine="640" w:firstLineChars="200"/>
        <w:textAlignment w:val="auto"/>
        <w:rPr>
          <w:rFonts w:ascii="Times New Roman" w:hAnsi="Times New Roman" w:eastAsia="方正黑体_GBK" w:cs="Times New Roman"/>
          <w:kern w:val="0"/>
          <w:sz w:val="32"/>
          <w:szCs w:val="32"/>
        </w:rPr>
      </w:pPr>
      <w:r>
        <w:rPr>
          <w:rFonts w:ascii="Times New Roman" w:hAnsi="Times New Roman" w:eastAsia="方正黑体_GBK" w:cs="Times New Roman"/>
          <w:kern w:val="0"/>
          <w:sz w:val="32"/>
          <w:szCs w:val="32"/>
        </w:rPr>
        <w:t>四、存在问题及原因分析</w:t>
      </w:r>
    </w:p>
    <w:p>
      <w:pPr>
        <w:keepNext w:val="0"/>
        <w:keepLines w:val="0"/>
        <w:pageBreakBefore w:val="0"/>
        <w:widowControl/>
        <w:shd w:val="clear" w:color="auto" w:fill="FFFFFF"/>
        <w:kinsoku/>
        <w:wordWrap/>
        <w:overflowPunct/>
        <w:topLinePunct w:val="0"/>
        <w:bidi w:val="0"/>
        <w:adjustRightInd/>
        <w:spacing w:line="240" w:lineRule="auto"/>
        <w:ind w:right="0" w:rightChars="0" w:firstLine="640" w:firstLineChars="200"/>
        <w:textAlignment w:val="auto"/>
        <w:rPr>
          <w:rFonts w:ascii="Times New Roman" w:hAnsi="Times New Roman" w:eastAsia="方正仿宋_GBK" w:cs="Times New Roman"/>
          <w:color w:val="000000"/>
          <w:kern w:val="0"/>
          <w:sz w:val="32"/>
          <w:szCs w:val="32"/>
        </w:rPr>
      </w:pPr>
      <w:r>
        <w:rPr>
          <w:rFonts w:hint="eastAsia" w:ascii="Times New Roman" w:hAnsi="Times New Roman" w:eastAsia="方正仿宋_GBK" w:cs="Times New Roman"/>
          <w:sz w:val="32"/>
          <w:szCs w:val="32"/>
          <w:lang w:eastAsia="zh-CN"/>
        </w:rPr>
        <w:t>2025</w:t>
      </w:r>
      <w:r>
        <w:rPr>
          <w:rFonts w:hint="eastAsia" w:ascii="Times New Roman" w:hAnsi="Times New Roman" w:eastAsia="方正仿宋_GBK" w:cs="Times New Roman"/>
          <w:sz w:val="32"/>
          <w:szCs w:val="32"/>
        </w:rPr>
        <w:t>年我支队对绩效管理存在问题及原因分析如下：第一，项目的事前绩效评估机制有待加强，由于预算编制项目评审比较粗糙，与绩效目标的结合不够紧密，做实事前绩效评估难度较大；第二</w:t>
      </w:r>
      <w:r>
        <w:rPr>
          <w:rFonts w:ascii="Times New Roman" w:hAnsi="Times New Roman" w:eastAsia="方正仿宋_GBK" w:cs="Times New Roman"/>
          <w:color w:val="000000"/>
          <w:kern w:val="0"/>
          <w:sz w:val="32"/>
          <w:szCs w:val="32"/>
        </w:rPr>
        <w:t>，评价专业性不足，科学分类分析方法单一，专业人才匮乏，影响了绩效管理工作的科学性和规范性。</w:t>
      </w:r>
    </w:p>
    <w:p>
      <w:pPr>
        <w:keepNext w:val="0"/>
        <w:keepLines w:val="0"/>
        <w:pageBreakBefore w:val="0"/>
        <w:widowControl/>
        <w:kinsoku/>
        <w:wordWrap/>
        <w:overflowPunct/>
        <w:topLinePunct w:val="0"/>
        <w:bidi w:val="0"/>
        <w:adjustRightInd/>
        <w:spacing w:line="240" w:lineRule="auto"/>
        <w:ind w:right="0" w:rightChars="0" w:firstLine="640" w:firstLineChars="200"/>
        <w:textAlignment w:val="auto"/>
        <w:rPr>
          <w:rFonts w:ascii="Times New Roman" w:hAnsi="Times New Roman" w:eastAsia="方正黑体_GBK" w:cs="Times New Roman"/>
          <w:kern w:val="0"/>
          <w:sz w:val="32"/>
          <w:szCs w:val="32"/>
        </w:rPr>
      </w:pPr>
      <w:r>
        <w:rPr>
          <w:rFonts w:ascii="Times New Roman" w:hAnsi="Times New Roman" w:eastAsia="方正黑体_GBK" w:cs="Times New Roman"/>
          <w:kern w:val="0"/>
          <w:sz w:val="32"/>
          <w:szCs w:val="32"/>
        </w:rPr>
        <w:t>五、有关建议</w:t>
      </w:r>
    </w:p>
    <w:p>
      <w:pPr>
        <w:keepNext w:val="0"/>
        <w:keepLines w:val="0"/>
        <w:pageBreakBefore w:val="0"/>
        <w:widowControl/>
        <w:kinsoku/>
        <w:wordWrap/>
        <w:overflowPunct/>
        <w:topLinePunct w:val="0"/>
        <w:bidi w:val="0"/>
        <w:adjustRightInd/>
        <w:spacing w:line="240" w:lineRule="auto"/>
        <w:ind w:left="0" w:leftChars="0" w:right="0" w:rightChars="0" w:firstLine="640" w:firstLineChars="200"/>
        <w:jc w:val="left"/>
        <w:textAlignment w:val="auto"/>
        <w:outlineLvl w:val="9"/>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建议组织绩效管理方面的专业培训，安排业务专家能手和熟悉系统的工程师授课，</w:t>
      </w:r>
      <w:r>
        <w:rPr>
          <w:rFonts w:hint="eastAsia" w:ascii="方正仿宋_GBK" w:hAnsi="方正仿宋_GBK" w:eastAsia="方正仿宋_GBK" w:cs="方正仿宋_GBK"/>
          <w:kern w:val="0"/>
          <w:sz w:val="32"/>
          <w:szCs w:val="32"/>
          <w:lang w:eastAsia="zh-CN"/>
        </w:rPr>
        <w:t>扩大受训范围，</w:t>
      </w:r>
      <w:r>
        <w:rPr>
          <w:rFonts w:hint="eastAsia" w:ascii="方正仿宋_GBK" w:hAnsi="方正仿宋_GBK" w:eastAsia="方正仿宋_GBK" w:cs="方正仿宋_GBK"/>
          <w:kern w:val="0"/>
          <w:sz w:val="32"/>
          <w:szCs w:val="32"/>
        </w:rPr>
        <w:t>切实提升基层</w:t>
      </w:r>
      <w:r>
        <w:rPr>
          <w:rFonts w:hint="eastAsia" w:ascii="方正仿宋_GBK" w:hAnsi="方正仿宋_GBK" w:eastAsia="方正仿宋_GBK" w:cs="方正仿宋_GBK"/>
          <w:kern w:val="0"/>
          <w:sz w:val="32"/>
          <w:szCs w:val="32"/>
          <w:lang w:eastAsia="zh-CN"/>
        </w:rPr>
        <w:t>单位领导及</w:t>
      </w:r>
      <w:r>
        <w:rPr>
          <w:rFonts w:hint="eastAsia" w:ascii="方正仿宋_GBK" w:hAnsi="方正仿宋_GBK" w:eastAsia="方正仿宋_GBK" w:cs="方正仿宋_GBK"/>
          <w:kern w:val="0"/>
          <w:sz w:val="32"/>
          <w:szCs w:val="32"/>
        </w:rPr>
        <w:t>财务人员的部门绩效管理能力。</w:t>
      </w:r>
    </w:p>
    <w:p>
      <w:pPr>
        <w:keepNext w:val="0"/>
        <w:keepLines w:val="0"/>
        <w:pageBreakBefore w:val="0"/>
        <w:widowControl/>
        <w:kinsoku/>
        <w:wordWrap/>
        <w:overflowPunct/>
        <w:topLinePunct w:val="0"/>
        <w:bidi w:val="0"/>
        <w:adjustRightInd/>
        <w:spacing w:line="240" w:lineRule="auto"/>
        <w:ind w:right="0" w:rightChars="0" w:firstLine="640" w:firstLineChars="200"/>
        <w:textAlignment w:val="auto"/>
        <w:rPr>
          <w:rFonts w:ascii="Times New Roman" w:hAnsi="Times New Roman" w:eastAsia="方正黑体_GBK" w:cs="Times New Roman"/>
          <w:color w:val="000000"/>
          <w:kern w:val="0"/>
          <w:sz w:val="32"/>
          <w:szCs w:val="32"/>
        </w:rPr>
      </w:pPr>
      <w:r>
        <w:rPr>
          <w:rFonts w:ascii="Times New Roman" w:hAnsi="方正黑体_GBK" w:eastAsia="方正黑体_GBK" w:cs="Times New Roman"/>
          <w:color w:val="000000"/>
          <w:kern w:val="0"/>
          <w:sz w:val="32"/>
          <w:szCs w:val="32"/>
        </w:rPr>
        <w:t>六、评价工作开展情况及其他需说明的情况</w:t>
      </w:r>
    </w:p>
    <w:p>
      <w:pPr>
        <w:keepNext w:val="0"/>
        <w:keepLines w:val="0"/>
        <w:pageBreakBefore w:val="0"/>
        <w:kinsoku/>
        <w:wordWrap/>
        <w:overflowPunct/>
        <w:topLinePunct w:val="0"/>
        <w:bidi w:val="0"/>
        <w:adjustRightInd/>
        <w:spacing w:line="240" w:lineRule="auto"/>
        <w:ind w:left="0" w:leftChars="0" w:right="0" w:rightChars="0" w:firstLine="640" w:firstLineChars="200"/>
        <w:textAlignment w:val="auto"/>
        <w:outlineLvl w:val="9"/>
        <w:rPr>
          <w:rFonts w:hint="eastAsia" w:ascii="方正楷体_GBK" w:hAnsi="方正楷体_GBK" w:eastAsia="方正楷体_GBK" w:cs="方正楷体_GBK"/>
          <w:kern w:val="0"/>
          <w:sz w:val="32"/>
          <w:szCs w:val="32"/>
          <w:lang w:val="en-US" w:eastAsia="zh-CN"/>
        </w:rPr>
      </w:pPr>
      <w:bookmarkStart w:id="0" w:name="_Toc178059786"/>
      <w:r>
        <w:rPr>
          <w:rFonts w:hint="eastAsia" w:ascii="方正楷体_GBK" w:hAnsi="方正楷体_GBK" w:eastAsia="方正楷体_GBK" w:cs="方正楷体_GBK"/>
          <w:kern w:val="0"/>
          <w:sz w:val="32"/>
          <w:szCs w:val="32"/>
          <w:lang w:val="en-US" w:eastAsia="zh-CN"/>
        </w:rPr>
        <w:t>（一）绩效评价工作情况</w:t>
      </w:r>
      <w:bookmarkEnd w:id="0"/>
    </w:p>
    <w:p>
      <w:pPr>
        <w:keepNext w:val="0"/>
        <w:keepLines w:val="0"/>
        <w:pageBreakBefore w:val="0"/>
        <w:kinsoku/>
        <w:wordWrap/>
        <w:overflowPunct/>
        <w:topLinePunct w:val="0"/>
        <w:autoSpaceDE w:val="0"/>
        <w:autoSpaceDN w:val="0"/>
        <w:bidi w:val="0"/>
        <w:adjustRightInd/>
        <w:snapToGrid w:val="0"/>
        <w:spacing w:line="240" w:lineRule="auto"/>
        <w:ind w:left="0" w:leftChars="0" w:right="0" w:rightChars="0"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1、评价思路及方法</w:t>
      </w:r>
    </w:p>
    <w:p>
      <w:pPr>
        <w:keepNext w:val="0"/>
        <w:keepLines w:val="0"/>
        <w:pageBreakBefore w:val="0"/>
        <w:widowControl/>
        <w:kinsoku/>
        <w:wordWrap/>
        <w:overflowPunct/>
        <w:topLinePunct w:val="0"/>
        <w:bidi w:val="0"/>
        <w:adjustRightInd/>
        <w:spacing w:line="240" w:lineRule="auto"/>
        <w:ind w:left="0" w:leftChars="0" w:right="0" w:rightChars="0" w:firstLine="640" w:firstLineChars="200"/>
        <w:jc w:val="left"/>
        <w:textAlignment w:val="auto"/>
        <w:outlineLvl w:val="9"/>
        <w:rPr>
          <w:rFonts w:hint="eastAsia" w:ascii="方正仿宋_GBK" w:hAnsi="方正仿宋_GBK" w:eastAsia="方正仿宋_GBK" w:cs="方正仿宋_GBK"/>
          <w:kern w:val="0"/>
          <w:sz w:val="32"/>
          <w:szCs w:val="32"/>
          <w:lang w:val="en-US" w:eastAsia="zh-CN" w:bidi="ar-SA"/>
        </w:rPr>
      </w:pPr>
      <w:r>
        <w:rPr>
          <w:rFonts w:hint="eastAsia" w:ascii="方正仿宋_GBK" w:hAnsi="方正仿宋_GBK" w:eastAsia="方正仿宋_GBK" w:cs="方正仿宋_GBK"/>
          <w:kern w:val="0"/>
          <w:sz w:val="32"/>
          <w:szCs w:val="32"/>
          <w:lang w:val="en-US" w:eastAsia="zh-CN" w:bidi="ar-SA"/>
        </w:rPr>
        <w:t>根据职责、行业发展规划、年度工作任务和绩效目标、前期调研等，统筹考虑资产和业务活动，从运行成本、管理效率、履职效能、社会效应、可持续发展能力和服务对象满意度等方面，对部门预算整体绩效进行分析。通过对2025度预算配置、预算资金管理、资产管理、职责履行、履职效益等内容的绩效考评，遵循客观公正、操作便捷、实事求是的原则，找出薄弱环节，并提出相关建议，以进一步提高部门履职效率，充分发挥部门履职效益，助力南京公安现代警务体系建设。</w:t>
      </w:r>
    </w:p>
    <w:p>
      <w:pPr>
        <w:keepNext w:val="0"/>
        <w:keepLines w:val="0"/>
        <w:pageBreakBefore w:val="0"/>
        <w:kinsoku/>
        <w:wordWrap/>
        <w:overflowPunct/>
        <w:topLinePunct w:val="0"/>
        <w:autoSpaceDE w:val="0"/>
        <w:autoSpaceDN w:val="0"/>
        <w:bidi w:val="0"/>
        <w:adjustRightInd/>
        <w:snapToGrid w:val="0"/>
        <w:spacing w:line="240" w:lineRule="auto"/>
        <w:ind w:left="0" w:leftChars="0" w:right="0" w:rightChars="0"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2、评价组织与分工</w:t>
      </w:r>
    </w:p>
    <w:p>
      <w:pPr>
        <w:keepNext w:val="0"/>
        <w:keepLines w:val="0"/>
        <w:pageBreakBefore w:val="0"/>
        <w:widowControl/>
        <w:kinsoku/>
        <w:wordWrap/>
        <w:overflowPunct/>
        <w:topLinePunct w:val="0"/>
        <w:bidi w:val="0"/>
        <w:adjustRightInd/>
        <w:spacing w:line="240" w:lineRule="auto"/>
        <w:ind w:left="0" w:leftChars="0" w:right="0" w:rightChars="0" w:firstLine="640" w:firstLineChars="200"/>
        <w:jc w:val="left"/>
        <w:textAlignment w:val="auto"/>
        <w:outlineLvl w:val="9"/>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我单位建立了以</w:t>
      </w:r>
      <w:r>
        <w:rPr>
          <w:rFonts w:hint="eastAsia" w:ascii="方正仿宋_GBK" w:hAnsi="方正仿宋_GBK" w:eastAsia="方正仿宋_GBK" w:cs="方正仿宋_GBK"/>
          <w:kern w:val="0"/>
          <w:sz w:val="32"/>
          <w:szCs w:val="32"/>
          <w:lang w:eastAsia="zh-CN"/>
        </w:rPr>
        <w:t>支队长</w:t>
      </w:r>
      <w:r>
        <w:rPr>
          <w:rFonts w:hint="eastAsia" w:ascii="方正仿宋_GBK" w:hAnsi="方正仿宋_GBK" w:eastAsia="方正仿宋_GBK" w:cs="方正仿宋_GBK"/>
          <w:kern w:val="0"/>
          <w:sz w:val="32"/>
          <w:szCs w:val="32"/>
        </w:rPr>
        <w:t>为单位总负责人，分管领导为事项负责人，</w:t>
      </w:r>
      <w:r>
        <w:rPr>
          <w:rFonts w:hint="eastAsia" w:ascii="方正仿宋_GBK" w:hAnsi="方正仿宋_GBK" w:eastAsia="方正仿宋_GBK" w:cs="方正仿宋_GBK"/>
          <w:kern w:val="0"/>
          <w:sz w:val="32"/>
          <w:szCs w:val="32"/>
          <w:lang w:eastAsia="zh-CN"/>
        </w:rPr>
        <w:t>支队指挥</w:t>
      </w:r>
      <w:r>
        <w:rPr>
          <w:rFonts w:hint="eastAsia" w:ascii="方正仿宋_GBK" w:hAnsi="方正仿宋_GBK" w:eastAsia="方正仿宋_GBK" w:cs="方正仿宋_GBK"/>
          <w:kern w:val="0"/>
          <w:sz w:val="32"/>
          <w:szCs w:val="32"/>
        </w:rPr>
        <w:t>室为牵头部门，各具体业务</w:t>
      </w:r>
      <w:r>
        <w:rPr>
          <w:rFonts w:hint="eastAsia" w:ascii="方正仿宋_GBK" w:hAnsi="方正仿宋_GBK" w:eastAsia="方正仿宋_GBK" w:cs="方正仿宋_GBK"/>
          <w:kern w:val="0"/>
          <w:sz w:val="32"/>
          <w:szCs w:val="32"/>
          <w:lang w:eastAsia="zh-CN"/>
        </w:rPr>
        <w:t>科室</w:t>
      </w:r>
      <w:r>
        <w:rPr>
          <w:rFonts w:hint="eastAsia" w:ascii="方正仿宋_GBK" w:hAnsi="方正仿宋_GBK" w:eastAsia="方正仿宋_GBK" w:cs="方正仿宋_GBK"/>
          <w:kern w:val="0"/>
          <w:sz w:val="32"/>
          <w:szCs w:val="32"/>
        </w:rPr>
        <w:t>为绩效落实部门的组织与分工框架，对本单位全年的绩效进行具体落实。</w:t>
      </w:r>
    </w:p>
    <w:p>
      <w:pPr>
        <w:keepNext w:val="0"/>
        <w:keepLines w:val="0"/>
        <w:pageBreakBefore w:val="0"/>
        <w:kinsoku/>
        <w:wordWrap/>
        <w:overflowPunct/>
        <w:topLinePunct w:val="0"/>
        <w:autoSpaceDE w:val="0"/>
        <w:autoSpaceDN w:val="0"/>
        <w:bidi w:val="0"/>
        <w:adjustRightInd/>
        <w:snapToGrid w:val="0"/>
        <w:spacing w:line="240" w:lineRule="auto"/>
        <w:ind w:left="0" w:leftChars="0" w:right="0" w:rightChars="0"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3、评价过程</w:t>
      </w:r>
    </w:p>
    <w:p>
      <w:pPr>
        <w:keepNext w:val="0"/>
        <w:keepLines w:val="0"/>
        <w:pageBreakBefore w:val="0"/>
        <w:widowControl/>
        <w:kinsoku/>
        <w:wordWrap/>
        <w:overflowPunct/>
        <w:topLinePunct w:val="0"/>
        <w:bidi w:val="0"/>
        <w:adjustRightInd/>
        <w:spacing w:line="240" w:lineRule="auto"/>
        <w:ind w:left="0" w:leftChars="0" w:right="0" w:rightChars="0" w:firstLine="640" w:firstLineChars="200"/>
        <w:jc w:val="left"/>
        <w:textAlignment w:val="auto"/>
        <w:outlineLvl w:val="9"/>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我单位评价主要过程为：前期准备阶段，明确评价对象，评价周期，评价所依据的制度、预算文件、工作目标，制定评分标准及防范；资料收集阶段及实地核查与调研阶段，收集预算批复、财务凭证、工作总结、各类工作台账等；指标测算与初步评分阶段，对照年初预设绩效指标内容，主项核算数据、逐项打分，梳理存在问题；撰写绩效评价阶段，对绩效执行情况、绩效实现、问题短板、改进建议，进行进一步梳理和归集。</w:t>
      </w:r>
    </w:p>
    <w:p>
      <w:pPr>
        <w:keepNext w:val="0"/>
        <w:keepLines w:val="0"/>
        <w:pageBreakBefore w:val="0"/>
        <w:kinsoku/>
        <w:wordWrap/>
        <w:overflowPunct/>
        <w:topLinePunct w:val="0"/>
        <w:autoSpaceDE w:val="0"/>
        <w:autoSpaceDN w:val="0"/>
        <w:bidi w:val="0"/>
        <w:adjustRightInd/>
        <w:snapToGrid w:val="0"/>
        <w:spacing w:line="240" w:lineRule="auto"/>
        <w:ind w:left="0" w:leftChars="0" w:right="0" w:rightChars="0"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4、评价指标体系</w:t>
      </w:r>
    </w:p>
    <w:p>
      <w:pPr>
        <w:keepNext w:val="0"/>
        <w:keepLines w:val="0"/>
        <w:pageBreakBefore w:val="0"/>
        <w:widowControl/>
        <w:kinsoku/>
        <w:wordWrap/>
        <w:overflowPunct/>
        <w:topLinePunct w:val="0"/>
        <w:bidi w:val="0"/>
        <w:adjustRightInd/>
        <w:spacing w:line="240" w:lineRule="auto"/>
        <w:ind w:left="0" w:leftChars="0" w:right="0" w:rightChars="0" w:firstLine="640" w:firstLineChars="200"/>
        <w:jc w:val="left"/>
        <w:textAlignment w:val="auto"/>
        <w:outlineLvl w:val="9"/>
        <w:rPr>
          <w:rFonts w:hint="eastAsia" w:ascii="方正仿宋_GBK" w:hAnsi="方正仿宋_GBK" w:eastAsia="方正仿宋_GBK" w:cs="方正仿宋_GBK"/>
          <w:kern w:val="0"/>
          <w:sz w:val="32"/>
          <w:szCs w:val="32"/>
          <w:lang w:eastAsia="zh-CN"/>
        </w:rPr>
      </w:pPr>
      <w:r>
        <w:rPr>
          <w:rFonts w:hint="eastAsia" w:ascii="方正仿宋_GBK" w:hAnsi="方正仿宋_GBK" w:eastAsia="方正仿宋_GBK" w:cs="方正仿宋_GBK"/>
          <w:kern w:val="0"/>
          <w:sz w:val="32"/>
          <w:szCs w:val="32"/>
          <w:lang w:eastAsia="zh-CN"/>
        </w:rPr>
        <w:t>202</w:t>
      </w:r>
      <w:r>
        <w:rPr>
          <w:rFonts w:hint="eastAsia" w:ascii="方正仿宋_GBK" w:hAnsi="方正仿宋_GBK" w:eastAsia="方正仿宋_GBK" w:cs="方正仿宋_GBK"/>
          <w:kern w:val="0"/>
          <w:sz w:val="32"/>
          <w:szCs w:val="32"/>
          <w:lang w:val="en-US" w:eastAsia="zh-CN"/>
        </w:rPr>
        <w:t>5</w:t>
      </w:r>
      <w:r>
        <w:rPr>
          <w:rFonts w:hint="eastAsia" w:ascii="方正仿宋_GBK" w:hAnsi="方正仿宋_GBK" w:eastAsia="方正仿宋_GBK" w:cs="方正仿宋_GBK"/>
          <w:kern w:val="0"/>
          <w:sz w:val="32"/>
          <w:szCs w:val="32"/>
          <w:lang w:eastAsia="zh-CN"/>
        </w:rPr>
        <w:t>年南京市公安局</w:t>
      </w:r>
      <w:r>
        <w:rPr>
          <w:rFonts w:hint="eastAsia" w:ascii="方正仿宋_GBK" w:hAnsi="方正仿宋_GBK" w:eastAsia="方正仿宋_GBK" w:cs="方正仿宋_GBK"/>
          <w:kern w:val="0"/>
          <w:sz w:val="32"/>
          <w:szCs w:val="32"/>
          <w:lang w:val="en-US" w:eastAsia="zh-CN"/>
        </w:rPr>
        <w:t>禁毒支队</w:t>
      </w:r>
      <w:r>
        <w:rPr>
          <w:rFonts w:hint="eastAsia" w:ascii="方正仿宋_GBK" w:hAnsi="方正仿宋_GBK" w:eastAsia="方正仿宋_GBK" w:cs="方正仿宋_GBK"/>
          <w:kern w:val="0"/>
          <w:sz w:val="32"/>
          <w:szCs w:val="32"/>
          <w:lang w:eastAsia="zh-CN"/>
        </w:rPr>
        <w:t>部门整体绩效评价指标体系共设计</w:t>
      </w:r>
      <w:r>
        <w:rPr>
          <w:rFonts w:hint="eastAsia" w:ascii="方正仿宋_GBK" w:hAnsi="方正仿宋_GBK" w:eastAsia="方正仿宋_GBK" w:cs="方正仿宋_GBK"/>
          <w:kern w:val="0"/>
          <w:sz w:val="32"/>
          <w:szCs w:val="32"/>
          <w:lang w:val="en-US" w:eastAsia="zh-CN"/>
        </w:rPr>
        <w:t>4</w:t>
      </w:r>
      <w:r>
        <w:rPr>
          <w:rFonts w:hint="eastAsia" w:ascii="方正仿宋_GBK" w:hAnsi="方正仿宋_GBK" w:eastAsia="方正仿宋_GBK" w:cs="方正仿宋_GBK"/>
          <w:kern w:val="0"/>
          <w:sz w:val="32"/>
          <w:szCs w:val="32"/>
          <w:lang w:eastAsia="zh-CN"/>
        </w:rPr>
        <w:t>个一级指标，</w:t>
      </w:r>
      <w:r>
        <w:rPr>
          <w:rFonts w:hint="eastAsia" w:ascii="方正仿宋_GBK" w:hAnsi="方正仿宋_GBK" w:eastAsia="方正仿宋_GBK" w:cs="方正仿宋_GBK"/>
          <w:kern w:val="0"/>
          <w:sz w:val="32"/>
          <w:szCs w:val="32"/>
          <w:lang w:val="en-US" w:eastAsia="zh-CN"/>
        </w:rPr>
        <w:t>11</w:t>
      </w:r>
      <w:r>
        <w:rPr>
          <w:rFonts w:hint="eastAsia" w:ascii="方正仿宋_GBK" w:hAnsi="方正仿宋_GBK" w:eastAsia="方正仿宋_GBK" w:cs="方正仿宋_GBK"/>
          <w:kern w:val="0"/>
          <w:sz w:val="32"/>
          <w:szCs w:val="32"/>
          <w:lang w:eastAsia="zh-CN"/>
        </w:rPr>
        <w:t>个二级指标、</w:t>
      </w:r>
      <w:r>
        <w:rPr>
          <w:rFonts w:hint="eastAsia" w:ascii="方正仿宋_GBK" w:hAnsi="方正仿宋_GBK" w:eastAsia="方正仿宋_GBK" w:cs="方正仿宋_GBK"/>
          <w:kern w:val="0"/>
          <w:sz w:val="32"/>
          <w:szCs w:val="32"/>
          <w:lang w:val="en-US" w:eastAsia="zh-CN"/>
        </w:rPr>
        <w:t>33</w:t>
      </w:r>
      <w:r>
        <w:rPr>
          <w:rFonts w:hint="eastAsia" w:ascii="方正仿宋_GBK" w:hAnsi="方正仿宋_GBK" w:eastAsia="方正仿宋_GBK" w:cs="方正仿宋_GBK"/>
          <w:kern w:val="0"/>
          <w:sz w:val="32"/>
          <w:szCs w:val="32"/>
          <w:lang w:eastAsia="zh-CN"/>
        </w:rPr>
        <w:t>个三级指标。详见附件《南京市公安局禁毒支队整体绩效评价指标体系》。</w:t>
      </w:r>
    </w:p>
    <w:p>
      <w:pPr>
        <w:keepNext w:val="0"/>
        <w:keepLines w:val="0"/>
        <w:pageBreakBefore w:val="0"/>
        <w:numPr>
          <w:ilvl w:val="0"/>
          <w:numId w:val="0"/>
        </w:numPr>
        <w:kinsoku/>
        <w:wordWrap/>
        <w:overflowPunct/>
        <w:topLinePunct w:val="0"/>
        <w:bidi w:val="0"/>
        <w:adjustRightInd/>
        <w:spacing w:line="240" w:lineRule="auto"/>
        <w:ind w:leftChars="200" w:right="0" w:rightChars="0"/>
        <w:textAlignment w:val="auto"/>
        <w:outlineLvl w:val="9"/>
        <w:rPr>
          <w:rFonts w:hint="eastAsia"/>
          <w:lang w:val="en-US" w:eastAsia="zh-CN"/>
        </w:rPr>
      </w:pPr>
      <w:r>
        <w:rPr>
          <w:rFonts w:hint="eastAsia" w:ascii="方正楷体_GBK" w:hAnsi="方正楷体_GBK" w:eastAsia="方正楷体_GBK" w:cs="方正楷体_GBK"/>
          <w:kern w:val="0"/>
          <w:sz w:val="32"/>
          <w:szCs w:val="32"/>
          <w:lang w:val="en-US" w:eastAsia="zh-CN"/>
        </w:rPr>
        <w:t>（二）其他需说明的情况</w:t>
      </w:r>
    </w:p>
    <w:p>
      <w:pPr>
        <w:pStyle w:val="2"/>
        <w:keepNext w:val="0"/>
        <w:keepLines w:val="0"/>
        <w:pageBreakBefore w:val="0"/>
        <w:kinsoku/>
        <w:wordWrap/>
        <w:overflowPunct/>
        <w:topLinePunct w:val="0"/>
        <w:bidi w:val="0"/>
        <w:adjustRightInd/>
        <w:spacing w:line="240" w:lineRule="auto"/>
        <w:ind w:right="0" w:rightChars="0"/>
        <w:textAlignment w:val="auto"/>
        <w:rPr>
          <w:rFonts w:hint="eastAsia" w:ascii="方正仿宋_GBK" w:hAnsi="方正仿宋_GBK" w:eastAsia="方正仿宋_GBK" w:cs="方正仿宋_GBK"/>
          <w:kern w:val="0"/>
          <w:sz w:val="32"/>
          <w:szCs w:val="32"/>
          <w:lang w:val="en-US" w:eastAsia="zh-CN" w:bidi="ar-SA"/>
        </w:rPr>
      </w:pPr>
      <w:r>
        <w:rPr>
          <w:rFonts w:hint="eastAsia" w:ascii="方正仿宋_GBK" w:hAnsi="方正仿宋_GBK" w:eastAsia="方正仿宋_GBK" w:cs="方正仿宋_GBK"/>
          <w:kern w:val="0"/>
          <w:sz w:val="32"/>
          <w:szCs w:val="32"/>
          <w:lang w:val="en-US" w:eastAsia="zh-CN" w:bidi="ar-SA"/>
        </w:rPr>
        <w:t>无。</w:t>
      </w:r>
    </w:p>
    <w:p>
      <w:pPr>
        <w:widowControl/>
        <w:spacing w:line="560" w:lineRule="exact"/>
        <w:ind w:firstLine="640" w:firstLineChars="200"/>
        <w:jc w:val="left"/>
        <w:rPr>
          <w:rFonts w:ascii="Times New Roman" w:hAnsi="Times New Roman" w:eastAsia="方正仿宋_GBK" w:cs="Times New Roman"/>
          <w:sz w:val="32"/>
          <w:szCs w:val="32"/>
          <w:shd w:val="clear" w:color="auto" w:fill="FFFFFF"/>
        </w:rPr>
      </w:pPr>
      <w:bookmarkStart w:id="1" w:name="_GoBack"/>
      <w:bookmarkEnd w:id="1"/>
    </w:p>
    <w:p>
      <w:pPr>
        <w:pStyle w:val="16"/>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方正仿宋_GBK" w:hAnsi="方正仿宋_GBK" w:eastAsia="方正仿宋_GBK" w:cs="方正仿宋_GBK"/>
          <w:szCs w:val="32"/>
          <w:lang w:val="en-US" w:eastAsia="zh-CN"/>
        </w:rPr>
      </w:pPr>
      <w:r>
        <w:rPr>
          <w:rFonts w:hint="eastAsia" w:ascii="方正仿宋_GBK" w:hAnsi="方正仿宋_GBK" w:eastAsia="方正仿宋_GBK" w:cs="方正仿宋_GBK"/>
          <w:szCs w:val="32"/>
        </w:rPr>
        <w:t>附件：南京市</w:t>
      </w:r>
      <w:r>
        <w:rPr>
          <w:rFonts w:hint="eastAsia" w:ascii="方正仿宋_GBK" w:hAnsi="方正仿宋_GBK" w:eastAsia="方正仿宋_GBK" w:cs="方正仿宋_GBK"/>
          <w:szCs w:val="32"/>
          <w:lang w:val="en-US" w:eastAsia="zh-CN"/>
        </w:rPr>
        <w:t>公安局禁毒支队部门整体绩效评价指标体系</w:t>
      </w:r>
    </w:p>
    <w:p>
      <w:pPr>
        <w:widowControl/>
        <w:jc w:val="left"/>
        <w:rPr>
          <w:rFonts w:ascii="Times New Roman" w:hAnsi="Times New Roman" w:eastAsia="方正小标宋简体" w:cs="Times New Roman"/>
          <w:sz w:val="36"/>
          <w:szCs w:val="36"/>
        </w:rPr>
        <w:sectPr>
          <w:pgSz w:w="11906" w:h="16838"/>
          <w:pgMar w:top="1440" w:right="1800" w:bottom="1440" w:left="1800" w:header="851" w:footer="992" w:gutter="0"/>
          <w:cols w:space="720" w:num="1"/>
          <w:docGrid w:type="lines" w:linePitch="312" w:charSpace="0"/>
        </w:sectPr>
      </w:pPr>
    </w:p>
    <w:p>
      <w:pPr>
        <w:widowControl/>
        <w:jc w:val="center"/>
        <w:rPr>
          <w:rFonts w:ascii="Times New Roman" w:hAnsi="Times New Roman" w:eastAsia="方正小标宋_GBK" w:cs="Times New Roman"/>
          <w:sz w:val="18"/>
          <w:szCs w:val="18"/>
        </w:rPr>
      </w:pPr>
    </w:p>
    <w:p>
      <w:pPr>
        <w:pStyle w:val="16"/>
        <w:ind w:firstLine="0" w:firstLineChars="0"/>
        <w:rPr>
          <w:rFonts w:ascii="黑体" w:hAnsi="黑体" w:eastAsia="黑体"/>
          <w:color w:val="000000" w:themeColor="text1"/>
          <w:szCs w:val="32"/>
          <w14:textFill>
            <w14:solidFill>
              <w14:schemeClr w14:val="tx1"/>
            </w14:solidFill>
          </w14:textFill>
        </w:rPr>
      </w:pPr>
      <w:r>
        <w:rPr>
          <w:rFonts w:hint="eastAsia" w:ascii="黑体" w:hAnsi="黑体" w:eastAsia="黑体"/>
          <w:color w:val="000000" w:themeColor="text1"/>
          <w:szCs w:val="32"/>
          <w14:textFill>
            <w14:solidFill>
              <w14:schemeClr w14:val="tx1"/>
            </w14:solidFill>
          </w14:textFill>
        </w:rPr>
        <w:t>附件1</w:t>
      </w:r>
    </w:p>
    <w:p>
      <w:pPr>
        <w:widowControl/>
        <w:jc w:val="center"/>
        <w:rPr>
          <w:rFonts w:ascii="Times New Roman" w:hAnsi="Times New Roman" w:eastAsia="方正小标宋_GBK" w:cs="Times New Roman"/>
          <w:sz w:val="44"/>
          <w:szCs w:val="44"/>
        </w:rPr>
      </w:pPr>
    </w:p>
    <w:p>
      <w:pPr>
        <w:widowControl/>
        <w:jc w:val="center"/>
        <w:rPr>
          <w:rFonts w:ascii="Times New Roman" w:hAnsi="Times New Roman" w:eastAsia="方正小标宋_GBK" w:cs="Times New Roman"/>
          <w:sz w:val="44"/>
          <w:szCs w:val="44"/>
        </w:rPr>
      </w:pPr>
      <w:r>
        <w:rPr>
          <w:rFonts w:hint="eastAsia" w:ascii="Times New Roman" w:hAnsi="Times New Roman" w:eastAsia="方正小标宋_GBK" w:cs="Times New Roman"/>
          <w:sz w:val="44"/>
          <w:szCs w:val="44"/>
          <w:lang w:eastAsia="zh-CN"/>
        </w:rPr>
        <w:t>南京市公安局</w:t>
      </w:r>
      <w:r>
        <w:rPr>
          <w:rFonts w:ascii="Times New Roman" w:hAnsi="Times New Roman" w:eastAsia="方正小标宋_GBK" w:cs="Times New Roman"/>
          <w:sz w:val="44"/>
          <w:szCs w:val="44"/>
        </w:rPr>
        <w:t>禁毒支队整体绩效评价指标体系</w:t>
      </w:r>
    </w:p>
    <w:p>
      <w:pPr>
        <w:widowControl/>
        <w:tabs>
          <w:tab w:val="left" w:pos="2418"/>
        </w:tabs>
        <w:jc w:val="left"/>
        <w:rPr>
          <w:rFonts w:ascii="Times New Roman" w:hAnsi="Times New Roman" w:eastAsia="仿宋_GB2312" w:cs="Times New Roman"/>
          <w:sz w:val="24"/>
          <w:szCs w:val="24"/>
        </w:rPr>
      </w:pPr>
      <w:r>
        <w:rPr>
          <w:rFonts w:ascii="Times New Roman" w:hAnsi="Times New Roman" w:eastAsia="仿宋_GB2312" w:cs="Times New Roman"/>
          <w:sz w:val="24"/>
          <w:szCs w:val="24"/>
        </w:rPr>
        <w:tab/>
      </w:r>
    </w:p>
    <w:tbl>
      <w:tblPr>
        <w:tblStyle w:val="11"/>
        <w:tblW w:w="158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39"/>
        <w:gridCol w:w="1710"/>
        <w:gridCol w:w="1680"/>
        <w:gridCol w:w="1615"/>
        <w:gridCol w:w="934"/>
        <w:gridCol w:w="3775"/>
        <w:gridCol w:w="3696"/>
        <w:gridCol w:w="652"/>
        <w:gridCol w:w="7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75" w:hRule="atLeast"/>
        </w:trPr>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一级指标</w:t>
            </w:r>
          </w:p>
        </w:tc>
        <w:tc>
          <w:tcPr>
            <w:tcW w:w="33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标准值</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评分标准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4"/>
                <w:szCs w:val="24"/>
                <w:u w:val="none"/>
              </w:rPr>
            </w:pPr>
            <w:r>
              <w:rPr>
                <w:rFonts w:hint="eastAsia" w:ascii="方正仿宋_GBK" w:hAnsi="方正仿宋_GBK" w:eastAsia="方正仿宋_GBK" w:cs="方正仿宋_GBK"/>
                <w:i w:val="0"/>
                <w:color w:val="000000"/>
                <w:kern w:val="0"/>
                <w:sz w:val="24"/>
                <w:szCs w:val="24"/>
                <w:u w:val="none"/>
                <w:lang w:val="en-US" w:eastAsia="zh-CN" w:bidi="ar"/>
              </w:rPr>
              <w:t>评分过程</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lang w:eastAsia="zh-CN"/>
              </w:rPr>
            </w:pPr>
            <w:r>
              <w:rPr>
                <w:rFonts w:hint="eastAsia" w:ascii="宋体" w:hAnsi="宋体" w:cs="宋体"/>
                <w:i w:val="0"/>
                <w:color w:val="000000"/>
                <w:sz w:val="18"/>
                <w:szCs w:val="18"/>
                <w:u w:val="none"/>
                <w:lang w:eastAsia="zh-CN"/>
              </w:rPr>
              <w:t>分值</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部门</w:t>
            </w:r>
            <w:r>
              <w:rPr>
                <w:rFonts w:hint="eastAsia" w:ascii="宋体" w:hAnsi="宋体" w:eastAsia="宋体" w:cs="宋体"/>
                <w:i w:val="0"/>
                <w:color w:val="000000"/>
                <w:kern w:val="0"/>
                <w:sz w:val="18"/>
                <w:szCs w:val="18"/>
                <w:u w:val="none"/>
                <w:lang w:val="en-US" w:eastAsia="zh-CN" w:bidi="ar"/>
              </w:rPr>
              <w:t>决策</w:t>
            </w:r>
            <w:r>
              <w:rPr>
                <w:rFonts w:hint="eastAsia" w:ascii="宋体" w:hAnsi="宋体" w:cs="宋体"/>
                <w:i w:val="0"/>
                <w:color w:val="000000"/>
                <w:kern w:val="0"/>
                <w:sz w:val="18"/>
                <w:szCs w:val="18"/>
                <w:u w:val="none"/>
                <w:lang w:val="en-US" w:eastAsia="zh-CN" w:bidi="ar"/>
              </w:rPr>
              <w:t xml:space="preserve"> (16分)</w:t>
            </w:r>
          </w:p>
        </w:tc>
        <w:tc>
          <w:tcPr>
            <w:tcW w:w="33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计划制定</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中长期规划制定健全性</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健全</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单位中长期规划是否明确（1</w:t>
            </w:r>
            <w:r>
              <w:rPr>
                <w:rFonts w:hint="eastAsia" w:ascii="宋体" w:hAnsi="宋体" w:cs="宋体"/>
                <w:i w:val="0"/>
                <w:color w:val="000000"/>
                <w:kern w:val="0"/>
                <w:sz w:val="18"/>
                <w:szCs w:val="18"/>
                <w:u w:val="none"/>
                <w:lang w:val="en-US" w:eastAsia="zh-CN" w:bidi="ar"/>
              </w:rPr>
              <w:t>.5</w:t>
            </w:r>
            <w:r>
              <w:rPr>
                <w:rFonts w:hint="eastAsia" w:ascii="宋体" w:hAnsi="宋体" w:eastAsia="宋体" w:cs="宋体"/>
                <w:i w:val="0"/>
                <w:color w:val="000000"/>
                <w:kern w:val="0"/>
                <w:sz w:val="18"/>
                <w:szCs w:val="18"/>
                <w:u w:val="none"/>
                <w:lang w:val="en-US" w:eastAsia="zh-CN" w:bidi="ar"/>
              </w:rPr>
              <w:t>分），科学（1</w:t>
            </w:r>
            <w:r>
              <w:rPr>
                <w:rFonts w:hint="eastAsia" w:ascii="宋体" w:hAnsi="宋体" w:cs="宋体"/>
                <w:i w:val="0"/>
                <w:color w:val="000000"/>
                <w:kern w:val="0"/>
                <w:sz w:val="18"/>
                <w:szCs w:val="18"/>
                <w:u w:val="none"/>
                <w:lang w:val="en-US" w:eastAsia="zh-CN" w:bidi="ar"/>
              </w:rPr>
              <w:t>.5</w:t>
            </w:r>
            <w:r>
              <w:rPr>
                <w:rFonts w:hint="eastAsia" w:ascii="宋体" w:hAnsi="宋体" w:eastAsia="宋体" w:cs="宋体"/>
                <w:i w:val="0"/>
                <w:color w:val="000000"/>
                <w:kern w:val="0"/>
                <w:sz w:val="18"/>
                <w:szCs w:val="18"/>
                <w:u w:val="none"/>
                <w:lang w:val="en-US" w:eastAsia="zh-CN" w:bidi="ar"/>
              </w:rPr>
              <w:t>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单位中长期规划明确、科学，得</w:t>
            </w:r>
            <w:r>
              <w:rPr>
                <w:rFonts w:hint="eastAsia" w:ascii="宋体" w:hAnsi="宋体" w:cs="宋体"/>
                <w:i w:val="0"/>
                <w:color w:val="000000"/>
                <w:kern w:val="0"/>
                <w:sz w:val="18"/>
                <w:szCs w:val="18"/>
                <w:u w:val="none"/>
                <w:lang w:val="en-US" w:eastAsia="zh-CN" w:bidi="ar"/>
              </w:rPr>
              <w:t>3</w:t>
            </w:r>
            <w:r>
              <w:rPr>
                <w:rFonts w:hint="eastAsia" w:ascii="宋体" w:hAnsi="宋体" w:eastAsia="宋体" w:cs="宋体"/>
                <w:i w:val="0"/>
                <w:color w:val="000000"/>
                <w:kern w:val="0"/>
                <w:sz w:val="18"/>
                <w:szCs w:val="18"/>
                <w:u w:val="none"/>
                <w:lang w:val="en-US" w:eastAsia="zh-CN" w:bidi="ar"/>
              </w:rPr>
              <w:t>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工作计划制定健全性</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健全</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单位年度工作计划的制定是否明确（1</w:t>
            </w:r>
            <w:r>
              <w:rPr>
                <w:rFonts w:hint="eastAsia" w:ascii="宋体" w:hAnsi="宋体" w:cs="宋体"/>
                <w:i w:val="0"/>
                <w:color w:val="000000"/>
                <w:kern w:val="0"/>
                <w:sz w:val="18"/>
                <w:szCs w:val="18"/>
                <w:u w:val="none"/>
                <w:lang w:val="en-US" w:eastAsia="zh-CN" w:bidi="ar"/>
              </w:rPr>
              <w:t>.5</w:t>
            </w:r>
            <w:r>
              <w:rPr>
                <w:rFonts w:hint="eastAsia" w:ascii="宋体" w:hAnsi="宋体" w:eastAsia="宋体" w:cs="宋体"/>
                <w:i w:val="0"/>
                <w:color w:val="000000"/>
                <w:kern w:val="0"/>
                <w:sz w:val="18"/>
                <w:szCs w:val="18"/>
                <w:u w:val="none"/>
                <w:lang w:val="en-US" w:eastAsia="zh-CN" w:bidi="ar"/>
              </w:rPr>
              <w:t>分），科学（1</w:t>
            </w:r>
            <w:r>
              <w:rPr>
                <w:rFonts w:hint="eastAsia" w:ascii="宋体" w:hAnsi="宋体" w:cs="宋体"/>
                <w:i w:val="0"/>
                <w:color w:val="000000"/>
                <w:kern w:val="0"/>
                <w:sz w:val="18"/>
                <w:szCs w:val="18"/>
                <w:u w:val="none"/>
                <w:lang w:val="en-US" w:eastAsia="zh-CN" w:bidi="ar"/>
              </w:rPr>
              <w:t>.5</w:t>
            </w:r>
            <w:r>
              <w:rPr>
                <w:rFonts w:hint="eastAsia" w:ascii="宋体" w:hAnsi="宋体" w:eastAsia="宋体" w:cs="宋体"/>
                <w:i w:val="0"/>
                <w:color w:val="000000"/>
                <w:kern w:val="0"/>
                <w:sz w:val="18"/>
                <w:szCs w:val="18"/>
                <w:u w:val="none"/>
                <w:lang w:val="en-US" w:eastAsia="zh-CN" w:bidi="ar"/>
              </w:rPr>
              <w:t>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已制定科学明确的年度工作计划，有年度工作要点，得</w:t>
            </w:r>
            <w:r>
              <w:rPr>
                <w:rFonts w:hint="eastAsia" w:ascii="宋体" w:hAnsi="宋体" w:cs="宋体"/>
                <w:i w:val="0"/>
                <w:color w:val="000000"/>
                <w:kern w:val="0"/>
                <w:sz w:val="18"/>
                <w:szCs w:val="18"/>
                <w:u w:val="none"/>
                <w:lang w:val="en-US" w:eastAsia="zh-CN" w:bidi="ar"/>
              </w:rPr>
              <w:t>3</w:t>
            </w:r>
            <w:r>
              <w:rPr>
                <w:rFonts w:hint="eastAsia" w:ascii="宋体" w:hAnsi="宋体" w:eastAsia="宋体" w:cs="宋体"/>
                <w:i w:val="0"/>
                <w:color w:val="000000"/>
                <w:kern w:val="0"/>
                <w:sz w:val="18"/>
                <w:szCs w:val="18"/>
                <w:u w:val="none"/>
                <w:lang w:val="en-US" w:eastAsia="zh-CN" w:bidi="ar"/>
              </w:rPr>
              <w:t>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目标设定</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绩效目标合理性</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合理</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绩效目标与实际工作内容是否具有相关性（1</w:t>
            </w:r>
            <w:r>
              <w:rPr>
                <w:rFonts w:hint="eastAsia" w:ascii="宋体" w:hAnsi="宋体" w:cs="宋体"/>
                <w:i w:val="0"/>
                <w:color w:val="000000"/>
                <w:kern w:val="0"/>
                <w:sz w:val="18"/>
                <w:szCs w:val="18"/>
                <w:u w:val="none"/>
                <w:lang w:val="en-US" w:eastAsia="zh-CN" w:bidi="ar"/>
              </w:rPr>
              <w:t>.5</w:t>
            </w:r>
            <w:r>
              <w:rPr>
                <w:rFonts w:hint="eastAsia" w:ascii="宋体" w:hAnsi="宋体" w:eastAsia="宋体" w:cs="宋体"/>
                <w:i w:val="0"/>
                <w:color w:val="000000"/>
                <w:kern w:val="0"/>
                <w:sz w:val="18"/>
                <w:szCs w:val="18"/>
                <w:u w:val="none"/>
                <w:lang w:val="en-US" w:eastAsia="zh-CN" w:bidi="ar"/>
              </w:rPr>
              <w:t>分），绩效目标是否合理。（1</w:t>
            </w:r>
            <w:r>
              <w:rPr>
                <w:rFonts w:hint="eastAsia" w:ascii="宋体" w:hAnsi="宋体" w:cs="宋体"/>
                <w:i w:val="0"/>
                <w:color w:val="000000"/>
                <w:kern w:val="0"/>
                <w:sz w:val="18"/>
                <w:szCs w:val="18"/>
                <w:u w:val="none"/>
                <w:lang w:val="en-US" w:eastAsia="zh-CN" w:bidi="ar"/>
              </w:rPr>
              <w:t>.5</w:t>
            </w:r>
            <w:r>
              <w:rPr>
                <w:rFonts w:hint="eastAsia" w:ascii="宋体" w:hAnsi="宋体" w:eastAsia="宋体" w:cs="宋体"/>
                <w:i w:val="0"/>
                <w:color w:val="000000"/>
                <w:kern w:val="0"/>
                <w:sz w:val="18"/>
                <w:szCs w:val="18"/>
                <w:u w:val="none"/>
                <w:lang w:val="en-US" w:eastAsia="zh-CN" w:bidi="ar"/>
              </w:rPr>
              <w:t>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绩效目标与实际工作内容相关，设置合理，得</w:t>
            </w:r>
            <w:r>
              <w:rPr>
                <w:rFonts w:hint="eastAsia" w:ascii="宋体" w:hAnsi="宋体" w:cs="宋体"/>
                <w:i w:val="0"/>
                <w:color w:val="000000"/>
                <w:kern w:val="0"/>
                <w:sz w:val="18"/>
                <w:szCs w:val="18"/>
                <w:u w:val="none"/>
                <w:lang w:val="en-US" w:eastAsia="zh-CN" w:bidi="ar"/>
              </w:rPr>
              <w:t>3</w:t>
            </w:r>
            <w:r>
              <w:rPr>
                <w:rFonts w:hint="eastAsia" w:ascii="宋体" w:hAnsi="宋体" w:eastAsia="宋体" w:cs="宋体"/>
                <w:i w:val="0"/>
                <w:color w:val="000000"/>
                <w:kern w:val="0"/>
                <w:sz w:val="18"/>
                <w:szCs w:val="18"/>
                <w:u w:val="none"/>
                <w:lang w:val="en-US" w:eastAsia="zh-CN" w:bidi="ar"/>
              </w:rPr>
              <w:t>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绩效指标明确性</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明确</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是否细化分解为具体明确的（1</w:t>
            </w:r>
            <w:r>
              <w:rPr>
                <w:rFonts w:hint="eastAsia" w:ascii="宋体" w:hAnsi="宋体" w:cs="宋体"/>
                <w:i w:val="0"/>
                <w:color w:val="000000"/>
                <w:kern w:val="0"/>
                <w:sz w:val="18"/>
                <w:szCs w:val="18"/>
                <w:u w:val="none"/>
                <w:lang w:val="en-US" w:eastAsia="zh-CN" w:bidi="ar"/>
              </w:rPr>
              <w:t>.5</w:t>
            </w:r>
            <w:r>
              <w:rPr>
                <w:rFonts w:hint="eastAsia" w:ascii="宋体" w:hAnsi="宋体" w:eastAsia="宋体" w:cs="宋体"/>
                <w:i w:val="0"/>
                <w:color w:val="000000"/>
                <w:kern w:val="0"/>
                <w:sz w:val="18"/>
                <w:szCs w:val="18"/>
                <w:u w:val="none"/>
                <w:lang w:val="en-US" w:eastAsia="zh-CN" w:bidi="ar"/>
              </w:rPr>
              <w:t>分），指标值是否清晰、可衡量（1</w:t>
            </w:r>
            <w:r>
              <w:rPr>
                <w:rFonts w:hint="eastAsia" w:ascii="宋体" w:hAnsi="宋体" w:cs="宋体"/>
                <w:i w:val="0"/>
                <w:color w:val="000000"/>
                <w:kern w:val="0"/>
                <w:sz w:val="18"/>
                <w:szCs w:val="18"/>
                <w:u w:val="none"/>
                <w:lang w:val="en-US" w:eastAsia="zh-CN" w:bidi="ar"/>
              </w:rPr>
              <w:t>.5</w:t>
            </w:r>
            <w:r>
              <w:rPr>
                <w:rFonts w:hint="eastAsia" w:ascii="宋体" w:hAnsi="宋体" w:eastAsia="宋体" w:cs="宋体"/>
                <w:i w:val="0"/>
                <w:color w:val="000000"/>
                <w:kern w:val="0"/>
                <w:sz w:val="18"/>
                <w:szCs w:val="18"/>
                <w:u w:val="none"/>
                <w:lang w:val="en-US" w:eastAsia="zh-CN" w:bidi="ar"/>
              </w:rPr>
              <w:t>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绩效指标明确，清晰、可衡量，得</w:t>
            </w:r>
            <w:r>
              <w:rPr>
                <w:rFonts w:hint="eastAsia" w:ascii="宋体" w:hAnsi="宋体" w:cs="宋体"/>
                <w:i w:val="0"/>
                <w:color w:val="000000"/>
                <w:kern w:val="0"/>
                <w:sz w:val="18"/>
                <w:szCs w:val="18"/>
                <w:u w:val="none"/>
                <w:lang w:val="en-US" w:eastAsia="zh-CN" w:bidi="ar"/>
              </w:rPr>
              <w:t>3</w:t>
            </w:r>
            <w:r>
              <w:rPr>
                <w:rFonts w:hint="eastAsia" w:ascii="宋体" w:hAnsi="宋体" w:eastAsia="宋体" w:cs="宋体"/>
                <w:i w:val="0"/>
                <w:color w:val="000000"/>
                <w:kern w:val="0"/>
                <w:sz w:val="18"/>
                <w:szCs w:val="18"/>
                <w:u w:val="none"/>
                <w:lang w:val="en-US" w:eastAsia="zh-CN" w:bidi="ar"/>
              </w:rPr>
              <w:t>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预算编制</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预算编制科学性</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科学</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预算编制是否经过科学论证（1分），预算额度测算依据是否充分，是否按照标准编制（1分）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预算编制,经过科学论证，预算额度测算依据充分，按照标准编制，得2分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预算编制规范性</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规范</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项目是否按照程序规范申请设立（1分），事前是否已经过必要的可行性研究、评估（1分）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项目按照程序规范设立，事前已经过必要的可行性研究、评估，得2分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color w:val="000000"/>
                <w:kern w:val="0"/>
                <w:sz w:val="18"/>
                <w:szCs w:val="18"/>
                <w:u w:val="none"/>
                <w:lang w:val="en-US" w:eastAsia="zh-CN" w:bidi="ar"/>
              </w:rPr>
            </w:pPr>
          </w:p>
          <w:p>
            <w:pPr>
              <w:keepNext w:val="0"/>
              <w:keepLines w:val="0"/>
              <w:widowControl/>
              <w:suppressLineNumbers w:val="0"/>
              <w:jc w:val="center"/>
              <w:textAlignment w:val="center"/>
              <w:rPr>
                <w:rFonts w:hint="eastAsia" w:ascii="宋体" w:hAnsi="宋体" w:cs="宋体"/>
                <w:i w:val="0"/>
                <w:color w:val="000000"/>
                <w:kern w:val="0"/>
                <w:sz w:val="18"/>
                <w:szCs w:val="18"/>
                <w:u w:val="none"/>
                <w:lang w:val="en-US" w:eastAsia="zh-CN" w:bidi="ar"/>
              </w:rPr>
            </w:pPr>
          </w:p>
          <w:p>
            <w:pPr>
              <w:keepNext w:val="0"/>
              <w:keepLines w:val="0"/>
              <w:widowControl/>
              <w:suppressLineNumbers w:val="0"/>
              <w:jc w:val="center"/>
              <w:textAlignment w:val="center"/>
              <w:rPr>
                <w:rFonts w:hint="eastAsia" w:ascii="宋体" w:hAnsi="宋体" w:cs="宋体"/>
                <w:i w:val="0"/>
                <w:color w:val="000000"/>
                <w:kern w:val="0"/>
                <w:sz w:val="18"/>
                <w:szCs w:val="18"/>
                <w:u w:val="none"/>
                <w:lang w:val="en-US" w:eastAsia="zh-CN" w:bidi="ar"/>
              </w:rPr>
            </w:pPr>
          </w:p>
          <w:p>
            <w:pPr>
              <w:keepNext w:val="0"/>
              <w:keepLines w:val="0"/>
              <w:widowControl/>
              <w:suppressLineNumbers w:val="0"/>
              <w:jc w:val="center"/>
              <w:textAlignment w:val="center"/>
              <w:rPr>
                <w:rFonts w:hint="eastAsia" w:ascii="宋体" w:hAnsi="宋体" w:cs="宋体"/>
                <w:i w:val="0"/>
                <w:color w:val="000000"/>
                <w:kern w:val="0"/>
                <w:sz w:val="18"/>
                <w:szCs w:val="18"/>
                <w:u w:val="none"/>
                <w:lang w:val="en-US" w:eastAsia="zh-CN" w:bidi="ar"/>
              </w:rPr>
            </w:pPr>
          </w:p>
          <w:p>
            <w:pPr>
              <w:keepNext w:val="0"/>
              <w:keepLines w:val="0"/>
              <w:widowControl/>
              <w:suppressLineNumbers w:val="0"/>
              <w:jc w:val="center"/>
              <w:textAlignment w:val="center"/>
              <w:rPr>
                <w:rFonts w:hint="eastAsia" w:ascii="宋体" w:hAnsi="宋体" w:cs="宋体"/>
                <w:i w:val="0"/>
                <w:color w:val="000000"/>
                <w:kern w:val="0"/>
                <w:sz w:val="18"/>
                <w:szCs w:val="18"/>
                <w:u w:val="none"/>
                <w:lang w:val="en-US" w:eastAsia="zh-CN" w:bidi="ar"/>
              </w:rPr>
            </w:pPr>
          </w:p>
          <w:p>
            <w:pPr>
              <w:keepNext w:val="0"/>
              <w:keepLines w:val="0"/>
              <w:widowControl/>
              <w:suppressLineNumbers w:val="0"/>
              <w:jc w:val="center"/>
              <w:textAlignment w:val="center"/>
              <w:rPr>
                <w:rFonts w:hint="eastAsia" w:ascii="宋体" w:hAnsi="宋体" w:cs="宋体"/>
                <w:i w:val="0"/>
                <w:color w:val="000000"/>
                <w:kern w:val="0"/>
                <w:sz w:val="18"/>
                <w:szCs w:val="18"/>
                <w:u w:val="none"/>
                <w:lang w:val="en-US" w:eastAsia="zh-CN" w:bidi="ar"/>
              </w:rPr>
            </w:pPr>
          </w:p>
          <w:p>
            <w:pPr>
              <w:keepNext w:val="0"/>
              <w:keepLines w:val="0"/>
              <w:widowControl/>
              <w:suppressLineNumbers w:val="0"/>
              <w:jc w:val="center"/>
              <w:textAlignment w:val="center"/>
              <w:rPr>
                <w:rFonts w:hint="eastAsia" w:ascii="宋体" w:hAnsi="宋体" w:cs="宋体"/>
                <w:i w:val="0"/>
                <w:color w:val="000000"/>
                <w:kern w:val="0"/>
                <w:sz w:val="18"/>
                <w:szCs w:val="18"/>
                <w:u w:val="none"/>
                <w:lang w:val="en-US" w:eastAsia="zh-CN" w:bidi="ar"/>
              </w:rPr>
            </w:pPr>
          </w:p>
          <w:p>
            <w:pPr>
              <w:keepNext w:val="0"/>
              <w:keepLines w:val="0"/>
              <w:widowControl/>
              <w:suppressLineNumbers w:val="0"/>
              <w:jc w:val="center"/>
              <w:textAlignment w:val="center"/>
              <w:rPr>
                <w:rFonts w:hint="eastAsia" w:ascii="宋体" w:hAnsi="宋体" w:cs="宋体"/>
                <w:i w:val="0"/>
                <w:color w:val="000000"/>
                <w:kern w:val="0"/>
                <w:sz w:val="18"/>
                <w:szCs w:val="18"/>
                <w:u w:val="none"/>
                <w:lang w:val="en-US" w:eastAsia="zh-CN" w:bidi="ar"/>
              </w:rPr>
            </w:pPr>
          </w:p>
          <w:p>
            <w:pPr>
              <w:keepNext w:val="0"/>
              <w:keepLines w:val="0"/>
              <w:widowControl/>
              <w:suppressLineNumbers w:val="0"/>
              <w:jc w:val="center"/>
              <w:textAlignment w:val="center"/>
              <w:rPr>
                <w:rFonts w:hint="eastAsia" w:ascii="宋体" w:hAnsi="宋体" w:cs="宋体"/>
                <w:i w:val="0"/>
                <w:color w:val="000000"/>
                <w:kern w:val="0"/>
                <w:sz w:val="18"/>
                <w:szCs w:val="18"/>
                <w:u w:val="none"/>
                <w:lang w:val="en-US" w:eastAsia="zh-CN" w:bidi="ar"/>
              </w:rPr>
            </w:pPr>
          </w:p>
          <w:p>
            <w:pPr>
              <w:keepNext w:val="0"/>
              <w:keepLines w:val="0"/>
              <w:widowControl/>
              <w:suppressLineNumbers w:val="0"/>
              <w:jc w:val="center"/>
              <w:textAlignment w:val="center"/>
              <w:rPr>
                <w:rFonts w:hint="eastAsia" w:ascii="宋体" w:hAnsi="宋体" w:cs="宋体"/>
                <w:i w:val="0"/>
                <w:color w:val="000000"/>
                <w:kern w:val="0"/>
                <w:sz w:val="18"/>
                <w:szCs w:val="18"/>
                <w:u w:val="none"/>
                <w:lang w:val="en-US" w:eastAsia="zh-CN" w:bidi="ar"/>
              </w:rPr>
            </w:pPr>
          </w:p>
          <w:p>
            <w:pPr>
              <w:keepNext w:val="0"/>
              <w:keepLines w:val="0"/>
              <w:widowControl/>
              <w:suppressLineNumbers w:val="0"/>
              <w:jc w:val="center"/>
              <w:textAlignment w:val="center"/>
              <w:rPr>
                <w:rFonts w:hint="eastAsia" w:ascii="宋体" w:hAnsi="宋体" w:cs="宋体"/>
                <w:i w:val="0"/>
                <w:color w:val="000000"/>
                <w:kern w:val="0"/>
                <w:sz w:val="18"/>
                <w:szCs w:val="18"/>
                <w:u w:val="none"/>
                <w:lang w:val="en-US" w:eastAsia="zh-CN" w:bidi="ar"/>
              </w:rPr>
            </w:pPr>
          </w:p>
          <w:p>
            <w:pPr>
              <w:keepNext w:val="0"/>
              <w:keepLines w:val="0"/>
              <w:widowControl/>
              <w:suppressLineNumbers w:val="0"/>
              <w:jc w:val="center"/>
              <w:textAlignment w:val="center"/>
              <w:rPr>
                <w:rFonts w:hint="eastAsia" w:ascii="宋体" w:hAnsi="宋体" w:cs="宋体"/>
                <w:i w:val="0"/>
                <w:color w:val="000000"/>
                <w:kern w:val="0"/>
                <w:sz w:val="18"/>
                <w:szCs w:val="18"/>
                <w:u w:val="none"/>
                <w:lang w:val="en-US" w:eastAsia="zh-CN" w:bidi="ar"/>
              </w:rPr>
            </w:pPr>
          </w:p>
          <w:p>
            <w:pPr>
              <w:keepNext w:val="0"/>
              <w:keepLines w:val="0"/>
              <w:widowControl/>
              <w:suppressLineNumbers w:val="0"/>
              <w:jc w:val="center"/>
              <w:textAlignment w:val="center"/>
              <w:rPr>
                <w:rFonts w:hint="eastAsia" w:ascii="宋体" w:hAnsi="宋体" w:cs="宋体"/>
                <w:i w:val="0"/>
                <w:color w:val="000000"/>
                <w:kern w:val="0"/>
                <w:sz w:val="18"/>
                <w:szCs w:val="18"/>
                <w:u w:val="none"/>
                <w:lang w:val="en-US" w:eastAsia="zh-CN" w:bidi="ar"/>
              </w:rPr>
            </w:pPr>
          </w:p>
          <w:p>
            <w:pPr>
              <w:keepNext w:val="0"/>
              <w:keepLines w:val="0"/>
              <w:widowControl/>
              <w:suppressLineNumbers w:val="0"/>
              <w:jc w:val="center"/>
              <w:textAlignment w:val="center"/>
              <w:rPr>
                <w:rFonts w:hint="eastAsia" w:ascii="宋体" w:hAnsi="宋体" w:cs="宋体"/>
                <w:i w:val="0"/>
                <w:color w:val="000000"/>
                <w:kern w:val="0"/>
                <w:sz w:val="18"/>
                <w:szCs w:val="18"/>
                <w:u w:val="none"/>
                <w:lang w:val="en-US" w:eastAsia="zh-CN" w:bidi="ar"/>
              </w:rPr>
            </w:pPr>
          </w:p>
          <w:p>
            <w:pPr>
              <w:keepNext w:val="0"/>
              <w:keepLines w:val="0"/>
              <w:widowControl/>
              <w:suppressLineNumbers w:val="0"/>
              <w:jc w:val="center"/>
              <w:textAlignment w:val="center"/>
              <w:rPr>
                <w:rFonts w:hint="eastAsia" w:ascii="宋体" w:hAnsi="宋体" w:cs="宋体"/>
                <w:i w:val="0"/>
                <w:color w:val="000000"/>
                <w:kern w:val="0"/>
                <w:sz w:val="18"/>
                <w:szCs w:val="18"/>
                <w:u w:val="none"/>
                <w:lang w:val="en-US" w:eastAsia="zh-CN" w:bidi="ar"/>
              </w:rPr>
            </w:pPr>
          </w:p>
          <w:p>
            <w:pPr>
              <w:keepNext w:val="0"/>
              <w:keepLines w:val="0"/>
              <w:widowControl/>
              <w:suppressLineNumbers w:val="0"/>
              <w:jc w:val="center"/>
              <w:textAlignment w:val="center"/>
              <w:rPr>
                <w:rFonts w:hint="eastAsia" w:ascii="宋体" w:hAnsi="宋体" w:cs="宋体"/>
                <w:i w:val="0"/>
                <w:color w:val="000000"/>
                <w:kern w:val="0"/>
                <w:sz w:val="18"/>
                <w:szCs w:val="18"/>
                <w:u w:val="none"/>
                <w:lang w:val="en-US" w:eastAsia="zh-CN" w:bidi="ar"/>
              </w:rPr>
            </w:pPr>
          </w:p>
          <w:p>
            <w:pPr>
              <w:keepNext w:val="0"/>
              <w:keepLines w:val="0"/>
              <w:widowControl/>
              <w:suppressLineNumbers w:val="0"/>
              <w:jc w:val="center"/>
              <w:textAlignment w:val="center"/>
              <w:rPr>
                <w:rFonts w:hint="eastAsia" w:ascii="宋体" w:hAnsi="宋体" w:cs="宋体"/>
                <w:i w:val="0"/>
                <w:color w:val="000000"/>
                <w:kern w:val="0"/>
                <w:sz w:val="18"/>
                <w:szCs w:val="18"/>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部门管理 （58分）</w:t>
            </w:r>
          </w:p>
        </w:tc>
        <w:tc>
          <w:tcPr>
            <w:tcW w:w="33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预算执行</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预算调整率</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预算过程中是否中途变更调整，调整手续是否完备合规（2分）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预算过程中</w:t>
            </w:r>
            <w:r>
              <w:rPr>
                <w:rFonts w:hint="eastAsia" w:ascii="宋体" w:hAnsi="宋体" w:cs="宋体"/>
                <w:i w:val="0"/>
                <w:color w:val="000000"/>
                <w:kern w:val="0"/>
                <w:sz w:val="18"/>
                <w:szCs w:val="18"/>
                <w:u w:val="none"/>
                <w:lang w:val="en-US" w:eastAsia="zh-CN" w:bidi="ar"/>
              </w:rPr>
              <w:t>有</w:t>
            </w:r>
            <w:r>
              <w:rPr>
                <w:rFonts w:hint="eastAsia" w:ascii="宋体" w:hAnsi="宋体" w:eastAsia="宋体" w:cs="宋体"/>
                <w:i w:val="0"/>
                <w:color w:val="000000"/>
                <w:kern w:val="0"/>
                <w:sz w:val="18"/>
                <w:szCs w:val="18"/>
                <w:u w:val="none"/>
                <w:lang w:val="en-US" w:eastAsia="zh-CN" w:bidi="ar"/>
              </w:rPr>
              <w:t>申请变更调整，</w:t>
            </w:r>
            <w:r>
              <w:rPr>
                <w:rFonts w:hint="eastAsia" w:ascii="宋体" w:hAnsi="宋体" w:cs="宋体"/>
                <w:i w:val="0"/>
                <w:color w:val="000000"/>
                <w:kern w:val="0"/>
                <w:sz w:val="18"/>
                <w:szCs w:val="18"/>
                <w:u w:val="none"/>
                <w:lang w:val="en-US" w:eastAsia="zh-CN" w:bidi="ar"/>
              </w:rPr>
              <w:t>扣1</w:t>
            </w:r>
            <w:r>
              <w:rPr>
                <w:rFonts w:hint="eastAsia" w:ascii="宋体" w:hAnsi="宋体" w:eastAsia="宋体" w:cs="宋体"/>
                <w:i w:val="0"/>
                <w:color w:val="000000"/>
                <w:kern w:val="0"/>
                <w:sz w:val="18"/>
                <w:szCs w:val="18"/>
                <w:u w:val="none"/>
                <w:lang w:val="en-US" w:eastAsia="zh-CN" w:bidi="ar"/>
              </w:rPr>
              <w:t>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lang w:val="en-US" w:eastAsia="zh-CN"/>
              </w:rPr>
            </w:pPr>
            <w:r>
              <w:rPr>
                <w:rFonts w:hint="eastAsia" w:ascii="宋体" w:hAnsi="宋体" w:cs="宋体"/>
                <w:i w:val="0"/>
                <w:color w:val="000000"/>
                <w:sz w:val="18"/>
                <w:szCs w:val="18"/>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支付进度符合率</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是否符合预算批复或合同规定的用途（2分）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支付中不存在截留、挤占、挪用等情况，得2分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预算执行率</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单位预算支出的预算执行情况（3分）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按单位预算实际执行率计算，</w:t>
            </w:r>
            <w:r>
              <w:rPr>
                <w:rFonts w:hint="eastAsia" w:ascii="宋体" w:hAnsi="宋体" w:cs="宋体"/>
                <w:i w:val="0"/>
                <w:color w:val="000000"/>
                <w:kern w:val="0"/>
                <w:sz w:val="18"/>
                <w:szCs w:val="18"/>
                <w:u w:val="none"/>
                <w:lang w:val="en-US" w:eastAsia="zh-CN" w:bidi="ar"/>
              </w:rPr>
              <w:t xml:space="preserve"> </w:t>
            </w:r>
            <w:r>
              <w:rPr>
                <w:rFonts w:hint="eastAsia" w:ascii="宋体" w:hAnsi="宋体" w:eastAsia="宋体" w:cs="宋体"/>
                <w:i w:val="0"/>
                <w:color w:val="000000"/>
                <w:kern w:val="0"/>
                <w:sz w:val="18"/>
                <w:szCs w:val="18"/>
                <w:u w:val="none"/>
                <w:lang w:val="en-US" w:eastAsia="zh-CN" w:bidi="ar"/>
              </w:rPr>
              <w:t>执行完毕，</w:t>
            </w:r>
            <w:r>
              <w:rPr>
                <w:rFonts w:hint="eastAsia" w:ascii="宋体" w:hAnsi="宋体" w:cs="宋体"/>
                <w:i w:val="0"/>
                <w:color w:val="000000"/>
                <w:kern w:val="0"/>
                <w:sz w:val="18"/>
                <w:szCs w:val="18"/>
                <w:u w:val="none"/>
                <w:lang w:val="en-US" w:eastAsia="zh-CN" w:bidi="ar"/>
              </w:rPr>
              <w:t>得3</w:t>
            </w:r>
            <w:r>
              <w:rPr>
                <w:rFonts w:hint="eastAsia" w:ascii="宋体" w:hAnsi="宋体" w:eastAsia="宋体" w:cs="宋体"/>
                <w:i w:val="0"/>
                <w:color w:val="000000"/>
                <w:kern w:val="0"/>
                <w:sz w:val="18"/>
                <w:szCs w:val="18"/>
                <w:u w:val="none"/>
                <w:lang w:val="en-US" w:eastAsia="zh-CN" w:bidi="ar"/>
              </w:rPr>
              <w:t>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结转结余率</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未执行完毕的财政拨款是否结转下年（2分）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未执行完毕的财政拨款均由财政收回，得2分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公用经费控制率</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单位对公用经费的控制程度（预、决算比率≦100%，2分）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公用经费，控制在标准范围内，得2分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“三公经费”变动率</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单位“三公经费”变动情况，若不变动则不扣分（2分）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 xml:space="preserve">  </w:t>
            </w:r>
            <w:r>
              <w:rPr>
                <w:rFonts w:hint="eastAsia" w:ascii="宋体" w:hAnsi="宋体" w:eastAsia="宋体" w:cs="宋体"/>
                <w:i w:val="0"/>
                <w:color w:val="000000"/>
                <w:kern w:val="0"/>
                <w:sz w:val="18"/>
                <w:szCs w:val="18"/>
                <w:u w:val="none"/>
                <w:lang w:val="en-US" w:eastAsia="zh-CN" w:bidi="ar"/>
              </w:rPr>
              <w:t>落实过“紧日子“工作要求，压减三公经费”支出，发生变动，扣1分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政府采购执行率</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纳入政府采购的资金能否按时执行（2分）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政府采购资金按时执行完毕，得2分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非税收入预算完成率</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非税收入能否完成预算目标（2分）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非税收入完成预算目标，得2分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预算管理</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预算管理制度健全性</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健全</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单位是否建立有健全完备的预算管理制度（3分）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建立完善健全的预算管理制度，得3分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资金使用合规性</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合规</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是否严格按照制度执行资金管理各项工作。（3分）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严格按照制度执行资金管理，资金使用合规，得3分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绩效管理覆盖率</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单位预算绩效管理是否全覆盖（2分）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本单位预算绩效管理已全覆盖，得2分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基础信息完善性</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完善</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预算管理基础信息是否完善（2分）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本单位预算管理基础信息完善，得2分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预决算信息公开度</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公开</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预决算是否在“双平台”进行公开（1分），内容和时限是否符合要求（2分）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预决算工作已按规定及时进行公开，得3分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非税收入管理合规性</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合规</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本单位非税收入管理是否合规（2分）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本单位非税收入管理合规，得2分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资产管理</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资产管理制度健全性</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健全</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单位是否建立有健全完备的资产管理制度（3分）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建立完善健全的资产管理制度，得3分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资产管理规范性</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规范</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单位资产管理制度执行是否规范、有效（3分）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单位资产管理制度执行规范、有效，得3分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固定资产利用率</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固定资产是否完全利用，未闲置（2分）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本单位固定资产定期盘点，充分利用，并纳入公物仓统筹管理，得2分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项目管理</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项目管理制度健全性</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健全</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单位是否建立有健全完备的项目管理制度（3分）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建立完善健全的项目管理制度，得3分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项目管理制度执行规范性</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规范</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单位项目管理制度执行是否规范、有效（3分）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单位项目管理制度执行规范、有效，得3分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人员管理</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人员管理制度健全性</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健全</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单位是否建立有健全完备的人事管理制度（2分）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建立完善健全的人事管理制度，得2分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人员管理制度执行有效性</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有效</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单位人员管理制度执行是否规范、有效（2分）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单位人员管理制度执行规范、有效，得2分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在职人员控制率</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单位在职人数与核编人数是否匹配（2分）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单位在职人数与核编人数匹配，得2分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机构建设</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组织建设工作及时完成率</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组织建设工作是否及时完成（2分）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组织建设工作能够及时完成，得2分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8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业务学习与培训及时完成率</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业务学习与培训是否及时完成（2分）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业务学习与培训及时完成率，得2分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纪检监察工作有效性</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有效</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本单位纪检监察工作是否有效（2分）</w:t>
            </w:r>
          </w:p>
        </w:tc>
        <w:tc>
          <w:tcPr>
            <w:tcW w:w="3696"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本单位纪检监察工作高效有序进行，得2分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02" w:hRule="atLeast"/>
        </w:trPr>
        <w:tc>
          <w:tcPr>
            <w:tcW w:w="10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部门</w:t>
            </w:r>
            <w:r>
              <w:rPr>
                <w:rFonts w:hint="eastAsia" w:ascii="宋体" w:hAnsi="宋体" w:eastAsia="宋体" w:cs="宋体"/>
                <w:i w:val="0"/>
                <w:color w:val="000000"/>
                <w:kern w:val="0"/>
                <w:sz w:val="18"/>
                <w:szCs w:val="18"/>
                <w:u w:val="none"/>
                <w:lang w:val="en-US" w:eastAsia="zh-CN" w:bidi="ar"/>
              </w:rPr>
              <w:t>履职</w:t>
            </w:r>
            <w:r>
              <w:rPr>
                <w:rFonts w:hint="eastAsia" w:ascii="宋体" w:hAnsi="宋体" w:cs="宋体"/>
                <w:i w:val="0"/>
                <w:color w:val="000000"/>
                <w:kern w:val="0"/>
                <w:sz w:val="18"/>
                <w:szCs w:val="18"/>
                <w:u w:val="none"/>
                <w:lang w:val="en-US" w:eastAsia="zh-CN" w:bidi="ar"/>
              </w:rPr>
              <w:t xml:space="preserve"> （16分）</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贯彻执行党和国家有关公安禁毒工作的方针、政策和法律、法规，指挥全市公安禁毒工作。</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受理公民报警求助，依法预防、制止和侦查全市各类涉毒违法犯罪活动，指导并侦办全市各类毒品案件。</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预算执行度</w:t>
            </w:r>
          </w:p>
        </w:tc>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3775" w:type="dxa"/>
            <w:shd w:val="clear" w:color="auto" w:fill="auto"/>
            <w:vAlign w:val="center"/>
          </w:tcPr>
          <w:p>
            <w:pPr>
              <w:keepNext w:val="0"/>
              <w:keepLines w:val="0"/>
              <w:widowControl/>
              <w:suppressLineNumbers w:val="0"/>
              <w:jc w:val="both"/>
              <w:textAlignment w:val="center"/>
              <w:rPr>
                <w:rFonts w:ascii="仿宋_GB2312" w:hAnsi="宋体" w:eastAsia="仿宋_GB2312" w:cs="仿宋_GB2312"/>
                <w:i w:val="0"/>
                <w:color w:val="000000"/>
                <w:sz w:val="20"/>
                <w:szCs w:val="20"/>
                <w:u w:val="none"/>
              </w:rPr>
            </w:pPr>
            <w:r>
              <w:rPr>
                <w:rFonts w:hint="default" w:ascii="宋体" w:hAnsi="宋体" w:eastAsia="宋体" w:cs="宋体"/>
                <w:i w:val="0"/>
                <w:color w:val="000000"/>
                <w:kern w:val="0"/>
                <w:sz w:val="18"/>
                <w:szCs w:val="18"/>
                <w:u w:val="none"/>
                <w:lang w:val="en-US" w:eastAsia="zh-CN" w:bidi="ar"/>
              </w:rPr>
              <w:t>单位是否完成:①开展毒情监测预警②开展禁毒宣传教育③严打毒品犯罪④防控涉毒风险⑤依法规范执法⑥开展吸毒人员、家属心理矫正咨询⑦制毒物品管控⑧帮扶吸毒人员困难家庭。以上权重各2分，每发现一项未完成，扣2分，扣完为止。（16分）</w:t>
            </w:r>
          </w:p>
        </w:tc>
        <w:tc>
          <w:tcPr>
            <w:tcW w:w="3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360" w:firstLineChars="200"/>
              <w:jc w:val="both"/>
              <w:textAlignment w:val="center"/>
              <w:rPr>
                <w:rFonts w:hint="default" w:ascii="仿宋_GB2312" w:hAnsi="宋体" w:eastAsia="仿宋_GB2312" w:cs="仿宋_GB2312"/>
                <w:i w:val="0"/>
                <w:color w:val="000000"/>
                <w:sz w:val="20"/>
                <w:szCs w:val="20"/>
                <w:u w:val="none"/>
              </w:rPr>
            </w:pPr>
            <w:r>
              <w:rPr>
                <w:rFonts w:hint="default" w:ascii="宋体" w:hAnsi="宋体" w:eastAsia="宋体" w:cs="宋体"/>
                <w:i w:val="0"/>
                <w:color w:val="000000"/>
                <w:kern w:val="0"/>
                <w:sz w:val="18"/>
                <w:szCs w:val="18"/>
                <w:u w:val="none"/>
                <w:lang w:val="en-US" w:eastAsia="zh-CN" w:bidi="ar"/>
              </w:rPr>
              <w:t>聚焦禁毒宣传教育、禁吸戒毒、矫正帮扶、制毒物品管控等工作，依法预防、制止和侦查全市各类涉毒违法犯罪活动，指导并侦办全市各类毒品案件。各项禁毒工作绩效均已完成序时任务，全市禁毒斗争形势整体向好。得16分</w:t>
            </w:r>
          </w:p>
        </w:tc>
        <w:tc>
          <w:tcPr>
            <w:tcW w:w="652"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575" w:hRule="atLeast"/>
        </w:trPr>
        <w:tc>
          <w:tcPr>
            <w:tcW w:w="1039"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满意度指标</w:t>
            </w:r>
            <w:r>
              <w:rPr>
                <w:rFonts w:hint="eastAsia" w:ascii="宋体" w:hAnsi="宋体" w:cs="宋体"/>
                <w:i w:val="0"/>
                <w:color w:val="000000"/>
                <w:kern w:val="0"/>
                <w:sz w:val="18"/>
                <w:szCs w:val="18"/>
                <w:u w:val="none"/>
                <w:lang w:val="en-US" w:eastAsia="zh-CN" w:bidi="ar"/>
              </w:rPr>
              <w:t>（10分）</w:t>
            </w:r>
          </w:p>
        </w:tc>
        <w:tc>
          <w:tcPr>
            <w:tcW w:w="3390"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w:t>
            </w:r>
          </w:p>
        </w:tc>
        <w:tc>
          <w:tcPr>
            <w:tcW w:w="1615"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深化 “ 一个支撑、双轮驱动、三大保障 ” 战略，提高执法服务水平</w:t>
            </w:r>
          </w:p>
        </w:tc>
        <w:tc>
          <w:tcPr>
            <w:tcW w:w="934"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是否完成：①吸毒诱发相关案件升降趋势，社区戒毒/康复执行率，群众对社会禁毒环境满意度②提升市民幸福感和安全感，提高执法机关人民满意度。高于90%得满分，每降低10%扣2分，低于60%不得分。（10分）</w:t>
            </w:r>
          </w:p>
        </w:tc>
        <w:tc>
          <w:tcPr>
            <w:tcW w:w="3696" w:type="dxa"/>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360" w:firstLineChars="20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吸毒诱发相关案件降低，社区戒毒/康复执行率达92%，群众对社会禁毒环境满意度为92%，有效提升市民幸福感和安全感，执法机关人民满意度为93%。得10分</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1444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    计</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98</w:t>
            </w:r>
          </w:p>
        </w:tc>
      </w:tr>
    </w:tbl>
    <w:p>
      <w:pPr>
        <w:widowControl/>
        <w:jc w:val="left"/>
        <w:rPr>
          <w:rFonts w:ascii="Times New Roman" w:hAnsi="Times New Roman" w:eastAsia="仿宋_GB2312" w:cs="Times New Roman"/>
          <w:sz w:val="10"/>
          <w:szCs w:val="10"/>
        </w:rPr>
      </w:pPr>
    </w:p>
    <w:sectPr>
      <w:pgSz w:w="16838" w:h="11906" w:orient="landscape"/>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1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微软雅黑"/>
    <w:panose1 w:val="00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77C"/>
    <w:rsid w:val="0009764D"/>
    <w:rsid w:val="000A1FC6"/>
    <w:rsid w:val="000D5DFA"/>
    <w:rsid w:val="00156577"/>
    <w:rsid w:val="001C382E"/>
    <w:rsid w:val="00211410"/>
    <w:rsid w:val="00264D73"/>
    <w:rsid w:val="004832E6"/>
    <w:rsid w:val="004A39E2"/>
    <w:rsid w:val="00544BB0"/>
    <w:rsid w:val="006C34D9"/>
    <w:rsid w:val="00706214"/>
    <w:rsid w:val="00717A3D"/>
    <w:rsid w:val="007C16EC"/>
    <w:rsid w:val="00806440"/>
    <w:rsid w:val="00957F05"/>
    <w:rsid w:val="009814CA"/>
    <w:rsid w:val="00A71E8A"/>
    <w:rsid w:val="00AF4282"/>
    <w:rsid w:val="00B12797"/>
    <w:rsid w:val="00B201AA"/>
    <w:rsid w:val="00BC0C1A"/>
    <w:rsid w:val="00BE66F4"/>
    <w:rsid w:val="00C6477C"/>
    <w:rsid w:val="00C73375"/>
    <w:rsid w:val="00CB6911"/>
    <w:rsid w:val="00D83644"/>
    <w:rsid w:val="00D93E00"/>
    <w:rsid w:val="00DB08C0"/>
    <w:rsid w:val="00E36E79"/>
    <w:rsid w:val="00EE6106"/>
    <w:rsid w:val="01A74B58"/>
    <w:rsid w:val="03BA4C0C"/>
    <w:rsid w:val="04022063"/>
    <w:rsid w:val="045C2CF2"/>
    <w:rsid w:val="04985F1D"/>
    <w:rsid w:val="062D0F6D"/>
    <w:rsid w:val="06D92D65"/>
    <w:rsid w:val="06E7512C"/>
    <w:rsid w:val="0785673D"/>
    <w:rsid w:val="0797573D"/>
    <w:rsid w:val="0A7D5D4E"/>
    <w:rsid w:val="0C904F61"/>
    <w:rsid w:val="0CAA25E5"/>
    <w:rsid w:val="0D217A65"/>
    <w:rsid w:val="0EFC097A"/>
    <w:rsid w:val="0FD05281"/>
    <w:rsid w:val="10722CC6"/>
    <w:rsid w:val="10972AEA"/>
    <w:rsid w:val="11A02725"/>
    <w:rsid w:val="11DF7930"/>
    <w:rsid w:val="12B61066"/>
    <w:rsid w:val="133C269E"/>
    <w:rsid w:val="16794ED5"/>
    <w:rsid w:val="16C0159F"/>
    <w:rsid w:val="190A18E2"/>
    <w:rsid w:val="1A3C53EB"/>
    <w:rsid w:val="1C8F3C02"/>
    <w:rsid w:val="1CD9139D"/>
    <w:rsid w:val="1D566407"/>
    <w:rsid w:val="1DAE7244"/>
    <w:rsid w:val="1E0E68D3"/>
    <w:rsid w:val="1E2D4011"/>
    <w:rsid w:val="1F502213"/>
    <w:rsid w:val="202C4D64"/>
    <w:rsid w:val="202E6E91"/>
    <w:rsid w:val="211D0AE0"/>
    <w:rsid w:val="214B0830"/>
    <w:rsid w:val="216205C9"/>
    <w:rsid w:val="21862E44"/>
    <w:rsid w:val="21C53242"/>
    <w:rsid w:val="226D4F25"/>
    <w:rsid w:val="247A3B94"/>
    <w:rsid w:val="25177685"/>
    <w:rsid w:val="26E532AC"/>
    <w:rsid w:val="28DA62D4"/>
    <w:rsid w:val="29036311"/>
    <w:rsid w:val="2948379C"/>
    <w:rsid w:val="29B656A9"/>
    <w:rsid w:val="29EB47C0"/>
    <w:rsid w:val="2A8929A3"/>
    <w:rsid w:val="2C052018"/>
    <w:rsid w:val="2C423C52"/>
    <w:rsid w:val="2D844D7A"/>
    <w:rsid w:val="2E164145"/>
    <w:rsid w:val="2EBC7F2D"/>
    <w:rsid w:val="2FF276BF"/>
    <w:rsid w:val="315B74B4"/>
    <w:rsid w:val="31D92462"/>
    <w:rsid w:val="34B679F0"/>
    <w:rsid w:val="355025BC"/>
    <w:rsid w:val="36240A9C"/>
    <w:rsid w:val="386F141F"/>
    <w:rsid w:val="39677E81"/>
    <w:rsid w:val="399F1ED3"/>
    <w:rsid w:val="3B5B4569"/>
    <w:rsid w:val="3CF017D6"/>
    <w:rsid w:val="3E604446"/>
    <w:rsid w:val="400D74FC"/>
    <w:rsid w:val="403F37D1"/>
    <w:rsid w:val="40C05BDB"/>
    <w:rsid w:val="411A38BC"/>
    <w:rsid w:val="429D095B"/>
    <w:rsid w:val="42CF542B"/>
    <w:rsid w:val="435F6175"/>
    <w:rsid w:val="43F735CE"/>
    <w:rsid w:val="46703138"/>
    <w:rsid w:val="4706539C"/>
    <w:rsid w:val="471040D9"/>
    <w:rsid w:val="47B36784"/>
    <w:rsid w:val="48A461D6"/>
    <w:rsid w:val="4B946120"/>
    <w:rsid w:val="4DE91C88"/>
    <w:rsid w:val="4E4027C8"/>
    <w:rsid w:val="4EAB36D0"/>
    <w:rsid w:val="50DE0179"/>
    <w:rsid w:val="52304603"/>
    <w:rsid w:val="524014EF"/>
    <w:rsid w:val="52645940"/>
    <w:rsid w:val="539719B0"/>
    <w:rsid w:val="546C718F"/>
    <w:rsid w:val="549D57BC"/>
    <w:rsid w:val="56581E54"/>
    <w:rsid w:val="570B4152"/>
    <w:rsid w:val="57154427"/>
    <w:rsid w:val="582312A7"/>
    <w:rsid w:val="58481F51"/>
    <w:rsid w:val="58CB58D5"/>
    <w:rsid w:val="5AFF7C93"/>
    <w:rsid w:val="5BB67A1A"/>
    <w:rsid w:val="5D8247A0"/>
    <w:rsid w:val="5E2B50BB"/>
    <w:rsid w:val="5F1077FD"/>
    <w:rsid w:val="605F6A05"/>
    <w:rsid w:val="6156123C"/>
    <w:rsid w:val="622E5E56"/>
    <w:rsid w:val="626D018C"/>
    <w:rsid w:val="63EC149E"/>
    <w:rsid w:val="645E53CA"/>
    <w:rsid w:val="64E34C35"/>
    <w:rsid w:val="65271D61"/>
    <w:rsid w:val="653A4AD1"/>
    <w:rsid w:val="65CA1E2E"/>
    <w:rsid w:val="65EC7B37"/>
    <w:rsid w:val="660906C2"/>
    <w:rsid w:val="666D6DAD"/>
    <w:rsid w:val="675279CE"/>
    <w:rsid w:val="689E6151"/>
    <w:rsid w:val="68BF1C48"/>
    <w:rsid w:val="6A2302D6"/>
    <w:rsid w:val="6A496251"/>
    <w:rsid w:val="6A8F0310"/>
    <w:rsid w:val="6C690B37"/>
    <w:rsid w:val="6CA57B2D"/>
    <w:rsid w:val="6D506CC6"/>
    <w:rsid w:val="6E5C43F3"/>
    <w:rsid w:val="6E842C9E"/>
    <w:rsid w:val="7075392C"/>
    <w:rsid w:val="70F50605"/>
    <w:rsid w:val="71803624"/>
    <w:rsid w:val="73300E03"/>
    <w:rsid w:val="73303235"/>
    <w:rsid w:val="734A2524"/>
    <w:rsid w:val="737B4BCA"/>
    <w:rsid w:val="74A65B4B"/>
    <w:rsid w:val="75DE57C3"/>
    <w:rsid w:val="77081D5C"/>
    <w:rsid w:val="77223BC5"/>
    <w:rsid w:val="77CA4CBA"/>
    <w:rsid w:val="78136932"/>
    <w:rsid w:val="783E2847"/>
    <w:rsid w:val="788F6609"/>
    <w:rsid w:val="78F14F9B"/>
    <w:rsid w:val="79787FFA"/>
    <w:rsid w:val="7AF46AB4"/>
    <w:rsid w:val="7B5B1369"/>
    <w:rsid w:val="7BC7339F"/>
    <w:rsid w:val="7C303C86"/>
    <w:rsid w:val="7C477624"/>
    <w:rsid w:val="7C610778"/>
    <w:rsid w:val="7CF46640"/>
    <w:rsid w:val="7DD73B6B"/>
    <w:rsid w:val="7E4F6699"/>
    <w:rsid w:val="7E8A38B5"/>
    <w:rsid w:val="7F2B7583"/>
    <w:rsid w:val="7F426A5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qFormat="1"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10">
    <w:name w:val="Default Paragraph Font"/>
    <w:unhideWhenUsed/>
    <w:qFormat/>
    <w:uiPriority w:val="1"/>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jc w:val="both"/>
    </w:pPr>
    <w:rPr>
      <w:lang w:val="en-US" w:eastAsia="zh-CN"/>
    </w:r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Body Text First Indent"/>
    <w:basedOn w:val="5"/>
    <w:unhideWhenUsed/>
    <w:qFormat/>
    <w:uiPriority w:val="0"/>
    <w:pPr>
      <w:ind w:firstLine="420" w:firstLineChars="100"/>
    </w:pPr>
  </w:style>
  <w:style w:type="paragraph" w:styleId="5">
    <w:name w:val="Body Text"/>
    <w:basedOn w:val="1"/>
    <w:next w:val="1"/>
    <w:unhideWhenUsed/>
    <w:qFormat/>
    <w:uiPriority w:val="0"/>
    <w:pPr>
      <w:spacing w:after="120"/>
    </w:pPr>
  </w:style>
  <w:style w:type="paragraph" w:styleId="6">
    <w:name w:val="Balloon Text"/>
    <w:basedOn w:val="1"/>
    <w:link w:val="15"/>
    <w:unhideWhenUsed/>
    <w:qFormat/>
    <w:uiPriority w:val="0"/>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customStyle="1" w:styleId="12">
    <w:name w:val="p0"/>
    <w:basedOn w:val="1"/>
    <w:qFormat/>
    <w:uiPriority w:val="99"/>
    <w:pPr>
      <w:widowControl/>
    </w:pPr>
    <w:rPr>
      <w:rFonts w:ascii="Times New Roman" w:hAnsi="Times New Roman" w:cs="Times New Roman"/>
      <w:kern w:val="0"/>
      <w:sz w:val="32"/>
      <w:szCs w:val="32"/>
    </w:rPr>
  </w:style>
  <w:style w:type="character" w:customStyle="1" w:styleId="13">
    <w:name w:val="页眉 Char"/>
    <w:basedOn w:val="10"/>
    <w:link w:val="8"/>
    <w:qFormat/>
    <w:uiPriority w:val="99"/>
    <w:rPr>
      <w:sz w:val="18"/>
      <w:szCs w:val="18"/>
    </w:rPr>
  </w:style>
  <w:style w:type="character" w:customStyle="1" w:styleId="14">
    <w:name w:val="页脚 Char"/>
    <w:basedOn w:val="10"/>
    <w:link w:val="7"/>
    <w:qFormat/>
    <w:uiPriority w:val="99"/>
    <w:rPr>
      <w:sz w:val="18"/>
      <w:szCs w:val="18"/>
    </w:rPr>
  </w:style>
  <w:style w:type="character" w:customStyle="1" w:styleId="15">
    <w:name w:val="批注框文本 Char"/>
    <w:basedOn w:val="10"/>
    <w:link w:val="6"/>
    <w:semiHidden/>
    <w:qFormat/>
    <w:uiPriority w:val="0"/>
    <w:rPr>
      <w:rFonts w:ascii="Calibri" w:hAnsi="Calibri" w:cs="黑体"/>
      <w:kern w:val="2"/>
      <w:sz w:val="18"/>
      <w:szCs w:val="18"/>
    </w:rPr>
  </w:style>
  <w:style w:type="paragraph" w:customStyle="1" w:styleId="16">
    <w:name w:val="南京正文"/>
    <w:basedOn w:val="1"/>
    <w:qFormat/>
    <w:uiPriority w:val="0"/>
    <w:pPr>
      <w:spacing w:line="560" w:lineRule="exact"/>
      <w:ind w:firstLine="200" w:firstLineChars="200"/>
    </w:pPr>
    <w:rPr>
      <w:rFonts w:eastAsia="仿宋"/>
      <w:kern w:val="0"/>
      <w:sz w:val="32"/>
      <w:szCs w:val="28"/>
      <w:lang w:val="zh-CN"/>
    </w:rPr>
  </w:style>
  <w:style w:type="paragraph" w:customStyle="1" w:styleId="17">
    <w:name w:val="无间隔1"/>
    <w:qFormat/>
    <w:uiPriority w:val="99"/>
    <w:pPr>
      <w:ind w:firstLine="200" w:firstLineChars="200"/>
    </w:pPr>
    <w:rPr>
      <w:rFonts w:ascii="Times New Roman" w:hAnsi="Times New Roman" w:eastAsia="仿宋_GB2312" w:cs="Times New Roman"/>
      <w:sz w:val="30"/>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689</Words>
  <Characters>3930</Characters>
  <Lines>32</Lines>
  <Paragraphs>9</Paragraphs>
  <ScaleCrop>false</ScaleCrop>
  <LinksUpToDate>false</LinksUpToDate>
  <CharactersWithSpaces>4610</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2022-09-08T02:08:00Z</dcterms:created>
  <dc:creator>lys</dc:creator>
  <cp:lastModifiedBy>lenovo</cp:lastModifiedBy>
  <cp:lastPrinted>2025-09-18T00:44:00Z</cp:lastPrinted>
  <dcterms:modified xsi:type="dcterms:W3CDTF">2026-09-28T01:33:50Z</dcterms:modified>
  <dc:title>南京市公安局禁毒支队整体绩效评价报告</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y fmtid="{D5CDD505-2E9C-101B-9397-08002B2CF9AE}" pid="3" name="ICV">
    <vt:lpwstr>E8A227948CFC4CE99718ACA0BC1A2F49</vt:lpwstr>
  </property>
</Properties>
</file>