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23"/>
        <w:pageBreakBefore w:val="0"/>
        <w:widowControl/>
        <w:kinsoku/>
        <w:wordWrap/>
        <w:overflowPunct/>
        <w:topLinePunct w:val="0"/>
        <w:autoSpaceDE/>
        <w:bidi w:val="0"/>
        <w:snapToGrid w:val="0"/>
        <w:spacing w:line="0" w:lineRule="atLeast"/>
      </w:pPr>
      <w:bookmarkStart w:id="0" w:name="_GoBack"/>
      <w:r>
        <w:rPr>
          <w:rFonts w:ascii="方正小标宋_GBK" w:hAnsi="方正小标宋_GBK" w:eastAsia="方正小标宋_GBK" w:cs="方正小标宋_GBK"/>
          <w:sz w:val="44"/>
          <w:szCs w:val="44"/>
        </w:rPr>
        <w:t>2025年度南京市公安局建邺分局</w:t>
      </w:r>
      <w:r>
        <w:rPr>
          <w:rFonts w:ascii="方正小标宋_GBK" w:hAnsi="方正小标宋_GBK" w:eastAsia="方正小标宋_GBK" w:cs="方正小标宋_GBK"/>
          <w:sz w:val="44"/>
          <w:szCs w:val="44"/>
        </w:rPr>
        <w:br w:type="textWrapping"/>
      </w:r>
      <w:r>
        <w:rPr>
          <w:rFonts w:ascii="方正小标宋_GBK" w:hAnsi="方正小标宋_GBK" w:eastAsia="方正小标宋_GBK" w:cs="方正小标宋_GBK"/>
          <w:sz w:val="44"/>
          <w:szCs w:val="44"/>
        </w:rPr>
        <w:t>部门整体绩效自评价报告</w:t>
      </w:r>
    </w:p>
    <w:p>
      <w:pPr>
        <w:pageBreakBefore w:val="0"/>
        <w:kinsoku/>
        <w:wordWrap/>
        <w:overflowPunct/>
        <w:topLinePunct w:val="0"/>
        <w:autoSpaceDE/>
        <w:bidi w:val="0"/>
        <w:snapToGrid w:val="0"/>
        <w:spacing w:before="0" w:beforeLines="0" w:line="560" w:lineRule="exact"/>
        <w:rPr>
          <w:rFonts w:hint="eastAsia" w:ascii="方正公文仿宋" w:hAnsi="方正公文仿宋" w:eastAsia="方正公文仿宋" w:cs="方正公文仿宋"/>
          <w:sz w:val="24"/>
          <w:szCs w:val="24"/>
          <w:lang w:val="en-US" w:eastAsia="zh-CN"/>
        </w:rPr>
      </w:pPr>
    </w:p>
    <w:p>
      <w:pPr>
        <w:pStyle w:val="3"/>
        <w:pageBreakBefore w:val="0"/>
        <w:widowControl/>
        <w:numPr>
          <w:ilvl w:val="0"/>
          <w:numId w:val="2"/>
        </w:numPr>
        <w:kinsoku/>
        <w:wordWrap/>
        <w:overflowPunct/>
        <w:topLinePunct w:val="0"/>
        <w:autoSpaceDE/>
        <w:bidi w:val="0"/>
        <w:snapToGrid w:val="0"/>
        <w:spacing w:line="560" w:lineRule="exact"/>
        <w:ind w:left="0" w:leftChars="0" w:firstLine="640" w:firstLineChars="0"/>
        <w:rPr>
          <w:b w:val="0"/>
        </w:rPr>
      </w:pPr>
      <w:r>
        <w:rPr>
          <w:rFonts w:ascii="方正黑体_GBK" w:hAnsi="方正黑体_GBK" w:eastAsia="方正黑体_GBK" w:cs="方正黑体_GBK"/>
          <w:sz w:val="32"/>
          <w:szCs w:val="32"/>
        </w:rPr>
        <w:t>部门（单位）概况</w:t>
      </w:r>
    </w:p>
    <w:p>
      <w:pPr>
        <w:pStyle w:val="4"/>
        <w:pageBreakBefore w:val="0"/>
        <w:widowControl/>
        <w:numPr>
          <w:ilvl w:val="0"/>
          <w:numId w:val="3"/>
        </w:numPr>
        <w:kinsoku/>
        <w:wordWrap/>
        <w:overflowPunct/>
        <w:topLinePunct w:val="0"/>
        <w:autoSpaceDE/>
        <w:bidi w:val="0"/>
        <w:snapToGrid w:val="0"/>
        <w:spacing w:line="560" w:lineRule="exact"/>
        <w:ind w:left="0" w:leftChars="0" w:firstLine="640" w:firstLineChars="0"/>
        <w:rPr>
          <w:b w:val="0"/>
        </w:rPr>
      </w:pPr>
      <w:r>
        <w:rPr>
          <w:rFonts w:ascii="方正楷体_GBK" w:hAnsi="方正楷体_GBK" w:eastAsia="方正楷体_GBK" w:cs="方正楷体_GBK"/>
          <w:sz w:val="32"/>
          <w:szCs w:val="32"/>
        </w:rPr>
        <w:t>部门（单位）基本情况</w:t>
      </w:r>
    </w:p>
    <w:p>
      <w:pPr>
        <w:pStyle w:val="5"/>
        <w:pageBreakBefore w:val="0"/>
        <w:widowControl/>
        <w:numPr>
          <w:ilvl w:val="0"/>
          <w:numId w:val="4"/>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部门（单位）职能</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贯彻执行党和国家有关公安工作的方针、政策和</w:t>
      </w:r>
      <w:r>
        <w:rPr>
          <w:rFonts w:hint="eastAsia" w:ascii="方正仿宋_GBK" w:hAnsi="方正仿宋_GBK" w:eastAsia="方正仿宋_GBK" w:cs="方正仿宋_GBK"/>
          <w:sz w:val="32"/>
          <w:szCs w:val="32"/>
          <w:lang w:eastAsia="zh-CN"/>
        </w:rPr>
        <w:t>法律法规</w:t>
      </w:r>
      <w:r>
        <w:rPr>
          <w:rFonts w:ascii="方正仿宋_GBK" w:hAnsi="方正仿宋_GBK" w:eastAsia="方正仿宋_GBK" w:cs="方正仿宋_GBK"/>
          <w:sz w:val="32"/>
          <w:szCs w:val="32"/>
        </w:rPr>
        <w:t>。</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掌握影响辖区稳定、危害国家安全和社会治安的情况，向区委、区政府和市局及时提供相关重要线索信息，分析、研究对策并组织实施。</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负责公安队伍的管理、教育和训练工作。</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受理公民报警求助；依法预防、制止和侦查违法犯罪活动；处置重大案件、治安事故和骚乱，预防、打击恐怖活动。</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依法查处危害社会治安秩序的行为；积极预防、妥善处置突发性事件、群体性事件，维护社会稳定；依法管理集会、游行、示威活动；依法管理户籍、居民身份证、危险物品和特种行业等工作。</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依法管理辖区出入境事务和外国人在辖区居留、旅行等有关事务。</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负责辖区公共信息网络安全监察工作。</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执行辖区安全警卫工作及重要警卫任务。</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指导、监督辖区国家机关、社会团体、企事业单位和重点建设工程的治安保卫工作。</w:t>
      </w:r>
    </w:p>
    <w:p>
      <w:pPr>
        <w:pStyle w:val="16"/>
        <w:pageBreakBefore w:val="0"/>
        <w:numPr>
          <w:ilvl w:val="0"/>
          <w:numId w:val="5"/>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承办区委、区政府和上级公安机关交办的其他事项。</w:t>
      </w:r>
    </w:p>
    <w:p>
      <w:pPr>
        <w:pStyle w:val="5"/>
        <w:pageBreakBefore w:val="0"/>
        <w:widowControl/>
        <w:numPr>
          <w:ilvl w:val="0"/>
          <w:numId w:val="4"/>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机构设置</w:t>
      </w:r>
    </w:p>
    <w:p>
      <w:pPr>
        <w:pStyle w:val="16"/>
        <w:pageBreakBefore w:val="0"/>
        <w:kinsoku/>
        <w:wordWrap/>
        <w:overflowPunct/>
        <w:topLinePunct w:val="0"/>
        <w:autoSpaceDE/>
        <w:bidi w:val="0"/>
        <w:snapToGrid w:val="0"/>
        <w:spacing w:line="560" w:lineRule="exact"/>
        <w:rPr>
          <w:rFonts w:ascii="方正仿宋_GBK" w:hAnsi="Calibri" w:eastAsia="方正仿宋_GBK" w:cs="Times New Roman"/>
          <w:sz w:val="32"/>
        </w:rPr>
      </w:pPr>
      <w:r>
        <w:rPr>
          <w:rFonts w:hint="eastAsia" w:ascii="方正仿宋_GBK" w:hAnsi="方正仿宋_GBK" w:eastAsia="方正仿宋_GBK" w:cs="方正仿宋_GBK"/>
          <w:sz w:val="32"/>
          <w:szCs w:val="32"/>
        </w:rPr>
        <w:t>根据</w:t>
      </w:r>
      <w:r>
        <w:rPr>
          <w:rFonts w:hint="eastAsia" w:ascii="方正仿宋_GBK" w:hAnsi="方正仿宋_GBK" w:eastAsia="方正仿宋_GBK" w:cs="方正仿宋_GBK"/>
          <w:sz w:val="32"/>
          <w:szCs w:val="32"/>
          <w:lang w:val="en-US" w:eastAsia="zh-CN"/>
        </w:rPr>
        <w:t>单位</w:t>
      </w:r>
      <w:r>
        <w:rPr>
          <w:rFonts w:hint="eastAsia" w:ascii="方正仿宋_GBK" w:hAnsi="方正仿宋_GBK" w:eastAsia="方正仿宋_GBK" w:cs="方正仿宋_GBK"/>
          <w:sz w:val="32"/>
          <w:szCs w:val="32"/>
        </w:rPr>
        <w:t>职责分工，</w:t>
      </w:r>
      <w:r>
        <w:rPr>
          <w:rFonts w:ascii="方正仿宋_GBK" w:hAnsi="方正仿宋_GBK" w:eastAsia="方正仿宋_GBK" w:cs="方正仿宋_GBK"/>
          <w:sz w:val="32"/>
          <w:szCs w:val="32"/>
          <w:u w:color="auto"/>
        </w:rPr>
        <w:t>本单位内设机构包括：政工室、督查审计大队、警务保障室、情报指挥中心、法制大队、治安管理大队、政治安全保卫大队、网络安全保卫大队、单位内部安全保卫大队、出入境管理大队、刑事侦查大队、经济犯罪侦查大队、环境资源和食品药品犯罪侦查大队、巡特警大队、技侦支队驻建邺大队、南湖派出所、南苑派出所、莫愁湖派出所、滨江派出所、沙洲派出所、双闸派出所、莲花派出所、兴隆（奥体）派出所、江心洲派出所。</w:t>
      </w:r>
    </w:p>
    <w:p>
      <w:pPr>
        <w:pStyle w:val="5"/>
        <w:pageBreakBefore w:val="0"/>
        <w:widowControl/>
        <w:numPr>
          <w:ilvl w:val="0"/>
          <w:numId w:val="4"/>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人员配置</w:t>
      </w:r>
    </w:p>
    <w:p>
      <w:pPr>
        <w:pStyle w:val="16"/>
        <w:pageBreakBefore w:val="0"/>
        <w:kinsoku/>
        <w:wordWrap/>
        <w:overflowPunct/>
        <w:topLinePunct w:val="0"/>
        <w:autoSpaceDE/>
        <w:bidi w:val="0"/>
        <w:snapToGrid w:val="0"/>
        <w:spacing w:line="560" w:lineRule="exact"/>
        <w:rPr>
          <w:rFonts w:ascii="仿宋" w:hAnsi="仿宋" w:eastAsia="仿宋" w:cs="仿宋"/>
          <w:szCs w:val="22"/>
          <w:u w:color="auto"/>
        </w:rPr>
      </w:pPr>
      <w:r>
        <w:rPr>
          <w:rFonts w:ascii="方正仿宋_GBK" w:hAnsi="方正仿宋_GBK" w:eastAsia="方正仿宋_GBK" w:cs="方正仿宋_GBK"/>
          <w:sz w:val="32"/>
          <w:szCs w:val="32"/>
          <w:u w:color="auto"/>
        </w:rPr>
        <w:t>202</w:t>
      </w:r>
      <w:r>
        <w:rPr>
          <w:rFonts w:hint="eastAsia" w:ascii="方正仿宋_GBK" w:hAnsi="方正仿宋_GBK" w:eastAsia="方正仿宋_GBK" w:cs="方正仿宋_GBK"/>
          <w:sz w:val="32"/>
          <w:szCs w:val="32"/>
          <w:u w:color="auto"/>
          <w:lang w:val="en-US" w:eastAsia="zh-CN"/>
        </w:rPr>
        <w:t>5</w:t>
      </w:r>
      <w:r>
        <w:rPr>
          <w:rFonts w:ascii="方正仿宋_GBK" w:hAnsi="方正仿宋_GBK" w:eastAsia="方正仿宋_GBK" w:cs="方正仿宋_GBK"/>
          <w:sz w:val="32"/>
          <w:szCs w:val="32"/>
          <w:u w:color="auto"/>
        </w:rPr>
        <w:t>年末实有人数</w:t>
      </w:r>
      <w:r>
        <w:rPr>
          <w:rFonts w:hint="eastAsia" w:ascii="方正仿宋_GBK" w:hAnsi="方正仿宋_GBK" w:eastAsia="方正仿宋_GBK" w:cs="方正仿宋_GBK"/>
          <w:sz w:val="32"/>
          <w:szCs w:val="32"/>
          <w:u w:color="auto"/>
          <w:lang w:val="en-US" w:eastAsia="zh-CN"/>
        </w:rPr>
        <w:t>948</w:t>
      </w:r>
      <w:r>
        <w:rPr>
          <w:rFonts w:ascii="方正仿宋_GBK" w:hAnsi="方正仿宋_GBK" w:eastAsia="方正仿宋_GBK" w:cs="方正仿宋_GBK"/>
          <w:sz w:val="32"/>
          <w:szCs w:val="32"/>
          <w:u w:color="auto"/>
        </w:rPr>
        <w:t>人，其中在职行政人员7</w:t>
      </w:r>
      <w:r>
        <w:rPr>
          <w:rFonts w:hint="eastAsia" w:ascii="方正仿宋_GBK" w:hAnsi="方正仿宋_GBK" w:eastAsia="方正仿宋_GBK" w:cs="方正仿宋_GBK"/>
          <w:sz w:val="32"/>
          <w:szCs w:val="32"/>
          <w:u w:color="auto"/>
          <w:lang w:val="en-US" w:eastAsia="zh-CN"/>
        </w:rPr>
        <w:t>14</w:t>
      </w:r>
      <w:r>
        <w:rPr>
          <w:rFonts w:ascii="方正仿宋_GBK" w:hAnsi="方正仿宋_GBK" w:eastAsia="方正仿宋_GBK" w:cs="方正仿宋_GBK"/>
          <w:sz w:val="32"/>
          <w:szCs w:val="32"/>
          <w:u w:color="auto"/>
        </w:rPr>
        <w:t>人、退休人员2</w:t>
      </w:r>
      <w:r>
        <w:rPr>
          <w:rFonts w:hint="eastAsia" w:ascii="方正仿宋_GBK" w:hAnsi="方正仿宋_GBK" w:eastAsia="方正仿宋_GBK" w:cs="方正仿宋_GBK"/>
          <w:sz w:val="32"/>
          <w:szCs w:val="32"/>
          <w:u w:color="auto"/>
          <w:lang w:val="en-US" w:eastAsia="zh-CN"/>
        </w:rPr>
        <w:t>34</w:t>
      </w:r>
      <w:r>
        <w:rPr>
          <w:rFonts w:ascii="方正仿宋_GBK" w:hAnsi="方正仿宋_GBK" w:eastAsia="方正仿宋_GBK" w:cs="方正仿宋_GBK"/>
          <w:sz w:val="32"/>
          <w:szCs w:val="32"/>
          <w:u w:color="auto"/>
        </w:rPr>
        <w:t>人，在职行政人员比202</w:t>
      </w:r>
      <w:r>
        <w:rPr>
          <w:rFonts w:hint="eastAsia" w:ascii="方正仿宋_GBK" w:hAnsi="方正仿宋_GBK" w:eastAsia="方正仿宋_GBK" w:cs="方正仿宋_GBK"/>
          <w:sz w:val="32"/>
          <w:szCs w:val="32"/>
          <w:u w:color="auto"/>
          <w:lang w:val="en-US" w:eastAsia="zh-CN"/>
        </w:rPr>
        <w:t>4</w:t>
      </w:r>
      <w:r>
        <w:rPr>
          <w:rFonts w:ascii="方正仿宋_GBK" w:hAnsi="方正仿宋_GBK" w:eastAsia="方正仿宋_GBK" w:cs="方正仿宋_GBK"/>
          <w:sz w:val="32"/>
          <w:szCs w:val="32"/>
          <w:u w:color="auto"/>
        </w:rPr>
        <w:t>年末增加了1</w:t>
      </w:r>
      <w:r>
        <w:rPr>
          <w:rFonts w:hint="eastAsia" w:ascii="方正仿宋_GBK" w:hAnsi="方正仿宋_GBK" w:eastAsia="方正仿宋_GBK" w:cs="方正仿宋_GBK"/>
          <w:sz w:val="32"/>
          <w:szCs w:val="32"/>
          <w:u w:color="auto"/>
          <w:lang w:val="en-US" w:eastAsia="zh-CN"/>
        </w:rPr>
        <w:t>1</w:t>
      </w:r>
      <w:r>
        <w:rPr>
          <w:rFonts w:ascii="方正仿宋_GBK" w:hAnsi="方正仿宋_GBK" w:eastAsia="方正仿宋_GBK" w:cs="方正仿宋_GBK"/>
          <w:sz w:val="32"/>
          <w:szCs w:val="32"/>
          <w:u w:color="auto"/>
        </w:rPr>
        <w:t>人，主要为分局202</w:t>
      </w:r>
      <w:r>
        <w:rPr>
          <w:rFonts w:hint="eastAsia" w:ascii="方正仿宋_GBK" w:hAnsi="方正仿宋_GBK" w:eastAsia="方正仿宋_GBK" w:cs="方正仿宋_GBK"/>
          <w:sz w:val="32"/>
          <w:szCs w:val="32"/>
          <w:u w:color="auto"/>
          <w:lang w:val="en-US" w:eastAsia="zh-CN"/>
        </w:rPr>
        <w:t>5</w:t>
      </w:r>
      <w:r>
        <w:rPr>
          <w:rFonts w:ascii="方正仿宋_GBK" w:hAnsi="方正仿宋_GBK" w:eastAsia="方正仿宋_GBK" w:cs="方正仿宋_GBK"/>
          <w:sz w:val="32"/>
          <w:szCs w:val="32"/>
          <w:u w:color="auto"/>
        </w:rPr>
        <w:t>年新进人员；202</w:t>
      </w:r>
      <w:r>
        <w:rPr>
          <w:rFonts w:hint="eastAsia" w:ascii="方正仿宋_GBK" w:hAnsi="方正仿宋_GBK" w:eastAsia="方正仿宋_GBK" w:cs="方正仿宋_GBK"/>
          <w:sz w:val="32"/>
          <w:szCs w:val="32"/>
          <w:u w:color="auto"/>
          <w:lang w:val="en-US" w:eastAsia="zh-CN"/>
        </w:rPr>
        <w:t>5</w:t>
      </w:r>
      <w:r>
        <w:rPr>
          <w:rFonts w:ascii="方正仿宋_GBK" w:hAnsi="方正仿宋_GBK" w:eastAsia="方正仿宋_GBK" w:cs="方正仿宋_GBK"/>
          <w:sz w:val="32"/>
          <w:szCs w:val="32"/>
          <w:u w:color="auto"/>
        </w:rPr>
        <w:t>年末其他人员数1420人</w:t>
      </w:r>
      <w:r>
        <w:rPr>
          <w:rFonts w:hint="eastAsia" w:ascii="方正仿宋_GBK" w:hAnsi="方正仿宋_GBK" w:eastAsia="方正仿宋_GBK" w:cs="方正仿宋_GBK"/>
          <w:sz w:val="32"/>
          <w:szCs w:val="32"/>
          <w:u w:color="auto"/>
          <w:lang w:val="en-US" w:eastAsia="zh-CN"/>
        </w:rPr>
        <w:t>，未发生变化</w:t>
      </w:r>
      <w:r>
        <w:rPr>
          <w:rFonts w:ascii="方正仿宋_GBK" w:hAnsi="方正仿宋_GBK" w:eastAsia="方正仿宋_GBK" w:cs="方正仿宋_GBK"/>
          <w:sz w:val="32"/>
          <w:szCs w:val="32"/>
          <w:u w:color="auto"/>
        </w:rPr>
        <w:t>。</w:t>
      </w:r>
    </w:p>
    <w:p>
      <w:pPr>
        <w:pStyle w:val="5"/>
        <w:pageBreakBefore w:val="0"/>
        <w:widowControl/>
        <w:numPr>
          <w:ilvl w:val="0"/>
          <w:numId w:val="4"/>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部门资产</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截至2025年12月31日，分局资产总额32954.69万元，具体情况如下：</w:t>
      </w:r>
    </w:p>
    <w:tbl>
      <w:tblPr>
        <w:tblStyle w:val="27"/>
        <w:tblW w:w="877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74"/>
        <w:gridCol w:w="3052"/>
        <w:gridCol w:w="3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项目</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期末余额（万元）</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年初余额（万元）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流动资产合计</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15523.92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21329.98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固定资产净值</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10131.23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8722.84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无形资产净值</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在建工程</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7283.54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8873.59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资产总计</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32954.69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38943.94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负债合计</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2561.26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4787.72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9" w:hRule="atLeast"/>
          <w:jc w:val="center"/>
        </w:trPr>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净资产合计</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31185.79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宋体" w:hAnsi="宋体" w:eastAsia="宋体" w:cs="宋体"/>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34156.22</w:t>
            </w:r>
          </w:p>
        </w:tc>
      </w:tr>
    </w:tbl>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分局固定资产原值21753.88万元，累计折旧11622.65万元，净值10131.23万元；在建工程7283.54万元，主要为基建项目持续投入。资产负债率由年初12.29%下降至7.77%，财务状况稳健。</w:t>
      </w:r>
    </w:p>
    <w:p>
      <w:pPr>
        <w:pStyle w:val="4"/>
        <w:pageBreakBefore w:val="0"/>
        <w:widowControl/>
        <w:numPr>
          <w:ilvl w:val="0"/>
          <w:numId w:val="3"/>
        </w:numPr>
        <w:kinsoku/>
        <w:wordWrap/>
        <w:overflowPunct/>
        <w:topLinePunct w:val="0"/>
        <w:autoSpaceDE/>
        <w:bidi w:val="0"/>
        <w:snapToGrid w:val="0"/>
        <w:spacing w:line="560" w:lineRule="exact"/>
        <w:ind w:left="0" w:leftChars="0" w:firstLine="640" w:firstLineChars="0"/>
        <w:rPr>
          <w:b w:val="0"/>
        </w:rPr>
      </w:pPr>
      <w:r>
        <w:rPr>
          <w:rFonts w:ascii="方正楷体_GBK" w:hAnsi="方正楷体_GBK" w:eastAsia="方正楷体_GBK" w:cs="方正楷体_GBK"/>
          <w:sz w:val="32"/>
          <w:szCs w:val="32"/>
        </w:rPr>
        <w:t>部门（单位）资金情况</w:t>
      </w:r>
    </w:p>
    <w:p>
      <w:pPr>
        <w:pStyle w:val="5"/>
        <w:pageBreakBefore w:val="0"/>
        <w:widowControl/>
        <w:numPr>
          <w:ilvl w:val="0"/>
          <w:numId w:val="6"/>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部门收支情况</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2025年，分局财政拨款收入支出情况如下：</w:t>
      </w:r>
    </w:p>
    <w:p>
      <w:pPr>
        <w:pStyle w:val="6"/>
        <w:pageBreakBefore w:val="0"/>
        <w:numPr>
          <w:ilvl w:val="0"/>
          <w:numId w:val="7"/>
        </w:numPr>
        <w:kinsoku/>
        <w:wordWrap/>
        <w:overflowPunct/>
        <w:topLinePunct w:val="0"/>
        <w:autoSpaceDE/>
        <w:bidi w:val="0"/>
        <w:snapToGrid w:val="0"/>
        <w:spacing w:before="0" w:after="0" w:line="560" w:lineRule="exact"/>
        <w:ind w:left="0" w:leftChars="0" w:firstLine="0" w:firstLineChars="0"/>
        <w:rPr>
          <w:rFonts w:hint="eastAsia" w:ascii="宋体" w:hAnsi="宋体" w:eastAsia="宋体" w:cs="宋体"/>
          <w:b/>
        </w:rPr>
      </w:pPr>
      <w:r>
        <w:rPr>
          <w:rFonts w:ascii="方正仿宋_GBK" w:hAnsi="方正仿宋_GBK" w:eastAsia="方正仿宋_GBK" w:cs="方正仿宋_GBK"/>
          <w:b/>
          <w:bCs/>
          <w:sz w:val="32"/>
          <w:szCs w:val="32"/>
        </w:rPr>
        <w:t>预算安排与调整</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2025年年初预算安排31533.68万元，其中基本支出30465.97万元，项目支出1067.71万元；年中预算调增后全年预算为35228.82万元，其中基本支出33927.66万元（调增3461.69万元，主要原因：人员经费追加，包括工资调整、社保缴费基数变化及新增人员经费等），项目支出1301.16万元（调增233.45万元，主要原因：上级追加专项资金）。</w:t>
      </w:r>
    </w:p>
    <w:p>
      <w:pPr>
        <w:pStyle w:val="6"/>
        <w:pageBreakBefore w:val="0"/>
        <w:numPr>
          <w:ilvl w:val="0"/>
          <w:numId w:val="7"/>
        </w:numPr>
        <w:kinsoku/>
        <w:wordWrap/>
        <w:overflowPunct/>
        <w:topLinePunct w:val="0"/>
        <w:autoSpaceDE/>
        <w:bidi w:val="0"/>
        <w:snapToGrid w:val="0"/>
        <w:spacing w:before="0" w:after="0" w:line="560" w:lineRule="exact"/>
        <w:ind w:left="0" w:leftChars="0" w:firstLine="0" w:firstLineChars="0"/>
        <w:rPr>
          <w:rFonts w:hint="eastAsia" w:ascii="宋体" w:hAnsi="宋体" w:eastAsia="宋体" w:cs="宋体"/>
          <w:b/>
        </w:rPr>
      </w:pPr>
      <w:r>
        <w:rPr>
          <w:rFonts w:ascii="方正仿宋_GBK" w:hAnsi="方正仿宋_GBK" w:eastAsia="方正仿宋_GBK" w:cs="方正仿宋_GBK"/>
          <w:b/>
          <w:bCs/>
          <w:sz w:val="32"/>
          <w:szCs w:val="32"/>
        </w:rPr>
        <w:t>实际执行</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2025年实际支出34997.54万元，预算执行率99.23%，其中基本支出33699.84万元，预算执行率99.32%；项目支出1297.70万元，预算执行率99.66%。详见下表：</w:t>
      </w:r>
    </w:p>
    <w:tbl>
      <w:tblPr>
        <w:tblStyle w:val="27"/>
        <w:tblW w:w="92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55"/>
        <w:gridCol w:w="1723"/>
        <w:gridCol w:w="1723"/>
        <w:gridCol w:w="1448"/>
        <w:gridCol w:w="17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07" w:hRule="atLeast"/>
        </w:trPr>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支出类别</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年初预算数</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全年预算数</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实际支出数</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7" w:hRule="atLeast"/>
        </w:trPr>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基本支出</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30465.97</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33927.66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33699.84</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99.32%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7" w:hRule="atLeast"/>
        </w:trPr>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其中：人员经费</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27193.76</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30655.45</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30433.77</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99.28%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7" w:hRule="atLeast"/>
        </w:trPr>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其中：公用经费</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3272.21</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3272.21</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3266.07</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99.81%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7" w:hRule="atLeast"/>
        </w:trPr>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项目支出</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1067.71</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1301.16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1297.7</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0" w:hRule="atLeast"/>
        </w:trPr>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合计</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31533.68</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35228.82</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34997.54</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99.23%</w:t>
            </w:r>
          </w:p>
        </w:tc>
      </w:tr>
    </w:tbl>
    <w:p>
      <w:pPr>
        <w:pStyle w:val="6"/>
        <w:pageBreakBefore w:val="0"/>
        <w:numPr>
          <w:ilvl w:val="0"/>
          <w:numId w:val="7"/>
        </w:numPr>
        <w:kinsoku/>
        <w:wordWrap/>
        <w:overflowPunct/>
        <w:topLinePunct w:val="0"/>
        <w:autoSpaceDE/>
        <w:bidi w:val="0"/>
        <w:snapToGrid w:val="0"/>
        <w:spacing w:before="0" w:after="0" w:line="560" w:lineRule="exact"/>
        <w:ind w:left="0" w:leftChars="0" w:firstLine="0" w:firstLineChars="0"/>
        <w:rPr>
          <w:rFonts w:hint="eastAsia" w:ascii="宋体" w:hAnsi="宋体" w:eastAsia="宋体" w:cs="宋体"/>
          <w:b/>
        </w:rPr>
      </w:pPr>
      <w:r>
        <w:rPr>
          <w:rFonts w:ascii="方正仿宋_GBK" w:hAnsi="方正仿宋_GBK" w:eastAsia="方正仿宋_GBK" w:cs="方正仿宋_GBK"/>
          <w:b/>
          <w:bCs/>
          <w:sz w:val="32"/>
          <w:szCs w:val="32"/>
        </w:rPr>
        <w:t>收入构成</w:t>
      </w:r>
    </w:p>
    <w:p>
      <w:pPr>
        <w:pStyle w:val="16"/>
        <w:pageBreakBefore w:val="0"/>
        <w:widowControl/>
        <w:kinsoku/>
        <w:wordWrap/>
        <w:overflowPunct/>
        <w:topLinePunct w:val="0"/>
        <w:autoSpaceDE/>
        <w:bidi w:val="0"/>
        <w:snapToGrid w:val="0"/>
        <w:spacing w:line="560" w:lineRule="exact"/>
        <w:ind w:left="0" w:leftChars="0" w:firstLine="640" w:firstLineChars="200"/>
        <w:rPr>
          <w:rFonts w:ascii="方正仿宋_GBK" w:hAnsi="Calibri" w:eastAsia="方正仿宋_GBK" w:cs="Times New Roman"/>
          <w:sz w:val="32"/>
        </w:rPr>
      </w:pPr>
      <w:r>
        <w:rPr>
          <w:rFonts w:ascii="方正仿宋_GBK" w:hAnsi="方正仿宋_GBK" w:eastAsia="方正仿宋_GBK" w:cs="方正仿宋_GBK"/>
          <w:sz w:val="32"/>
          <w:szCs w:val="32"/>
        </w:rPr>
        <w:t>2025年分局收入全部来源于财政拨款。其中一般公共预算财政拨款34982.54万元，占全部收入的99.96%；政府性基金预算财政拨款15.00万元，占0.04%。</w:t>
      </w:r>
    </w:p>
    <w:p>
      <w:pPr>
        <w:pStyle w:val="5"/>
        <w:pageBreakBefore w:val="0"/>
        <w:widowControl/>
        <w:numPr>
          <w:ilvl w:val="0"/>
          <w:numId w:val="6"/>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“三公”经费情况</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2025年，分局“三公”经费全年预算752.87万元，实际支出751.87万元，预算执行率99.87%。具体如下：</w:t>
      </w:r>
    </w:p>
    <w:tbl>
      <w:tblPr>
        <w:tblStyle w:val="27"/>
        <w:tblW w:w="93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99"/>
        <w:gridCol w:w="1927"/>
        <w:gridCol w:w="1927"/>
        <w:gridCol w:w="1544"/>
        <w:gridCol w:w="14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72"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项目</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年初预算数（万元）</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全年预算数（万元）</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决算数（万元）</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4"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因公出国（境）费用</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19"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公务用车购置及运行维护费</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755.29</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751.87</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751.87</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其中：购置费</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286.71</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283.29</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283.29</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其中：运行维护费</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468.58</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468.58</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468.58</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公务接待费</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4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合计</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756.29</w:t>
            </w:r>
          </w:p>
        </w:tc>
        <w:tc>
          <w:tcPr>
            <w:tcW w:w="19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752.87</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751.87</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bidi w:val="0"/>
              <w:snapToGrid w:val="0"/>
              <w:spacing w:before="0" w:beforeLines="0" w:line="0" w:lineRule="atLeast"/>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99.87%</w:t>
            </w:r>
          </w:p>
        </w:tc>
      </w:tr>
    </w:tbl>
    <w:p>
      <w:pPr>
        <w:pageBreakBefore w:val="0"/>
        <w:kinsoku/>
        <w:wordWrap/>
        <w:overflowPunct/>
        <w:topLinePunct w:val="0"/>
        <w:autoSpaceDE/>
        <w:bidi w:val="0"/>
        <w:snapToGrid w:val="0"/>
        <w:spacing w:before="0" w:beforeLines="0" w:line="560" w:lineRule="exact"/>
        <w:rPr>
          <w:rFonts w:hint="eastAsia" w:ascii="方正公文仿宋" w:hAnsi="方正公文仿宋" w:eastAsia="方正公文仿宋" w:cs="方正公文仿宋"/>
          <w:sz w:val="24"/>
          <w:szCs w:val="24"/>
          <w:lang w:val="en-US" w:eastAsia="zh-CN"/>
        </w:rPr>
      </w:pP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三公”经费支出以公务用车购置及运行维护费为主，2025年新购公务用车18辆，购置费283.29万元，均价15.74万元/辆；年末公务用车保有量160辆，车均运行维护费2.93万元/辆/年。公务接待费预算1万元，实际未发生支出。</w:t>
      </w:r>
    </w:p>
    <w:p>
      <w:pPr>
        <w:pStyle w:val="5"/>
        <w:pageBreakBefore w:val="0"/>
        <w:numPr>
          <w:ilvl w:val="0"/>
          <w:numId w:val="6"/>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专项资金情况</w:t>
      </w:r>
    </w:p>
    <w:p>
      <w:pPr>
        <w:pStyle w:val="16"/>
        <w:pageBreakBefore w:val="0"/>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2025年南京市公安局建邺分局无市级重点专项资金项目。</w:t>
      </w:r>
    </w:p>
    <w:p>
      <w:pPr>
        <w:pStyle w:val="4"/>
        <w:pageBreakBefore w:val="0"/>
        <w:widowControl/>
        <w:numPr>
          <w:ilvl w:val="0"/>
          <w:numId w:val="3"/>
        </w:numPr>
        <w:kinsoku/>
        <w:wordWrap/>
        <w:overflowPunct/>
        <w:topLinePunct w:val="0"/>
        <w:autoSpaceDE/>
        <w:bidi w:val="0"/>
        <w:snapToGrid w:val="0"/>
        <w:spacing w:line="560" w:lineRule="exact"/>
        <w:ind w:left="0" w:leftChars="0" w:firstLine="640" w:firstLineChars="0"/>
        <w:rPr>
          <w:b w:val="0"/>
        </w:rPr>
      </w:pPr>
      <w:r>
        <w:rPr>
          <w:rFonts w:ascii="方正楷体_GBK" w:hAnsi="方正楷体_GBK" w:eastAsia="方正楷体_GBK" w:cs="方正楷体_GBK"/>
          <w:sz w:val="32"/>
          <w:szCs w:val="32"/>
        </w:rPr>
        <w:t>部门（单位）绩效目标</w:t>
      </w:r>
    </w:p>
    <w:p>
      <w:pPr>
        <w:pStyle w:val="5"/>
        <w:pageBreakBefore w:val="0"/>
        <w:widowControl/>
        <w:numPr>
          <w:ilvl w:val="0"/>
          <w:numId w:val="8"/>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中长期目标</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color w:val="000000"/>
          <w:sz w:val="32"/>
          <w:szCs w:val="32"/>
        </w:rPr>
        <w:t>面对政治安全、社会稳定、社会治安、公共安全、网络安全“五大领域”的风险隐患日益突出，群众需求迅猛扩张等诸多矛盾和困难，推进公安工作现代化是新时代公安工作的发展方向，深入实施现代警务战略、着力打造现代警务体系是当前公安工作发展的根本出路。当前和今后一段时期总的目标是：坚持以习近平新时代中国特色社会主义思想为指导，深入践行现代警务战略，统筹做好护安全、保稳定、促发展各项工作，</w:t>
      </w:r>
      <w:r>
        <w:rPr>
          <w:rFonts w:ascii="方正仿宋_GBK" w:hAnsi="方正仿宋_GBK" w:eastAsia="方正仿宋_GBK" w:cs="方正仿宋_GBK"/>
          <w:sz w:val="32"/>
          <w:szCs w:val="32"/>
        </w:rPr>
        <w:t>持续提升辖区监管执法效能；推进公共服务均等化、标准化建设；加强信息化建设，提升智慧管理水平；优化资源配置，提高财政资金使用效益。</w:t>
      </w:r>
    </w:p>
    <w:p>
      <w:pPr>
        <w:pStyle w:val="5"/>
        <w:pageBreakBefore w:val="0"/>
        <w:widowControl/>
        <w:numPr>
          <w:ilvl w:val="0"/>
          <w:numId w:val="8"/>
        </w:numPr>
        <w:kinsoku/>
        <w:wordWrap/>
        <w:overflowPunct/>
        <w:topLinePunct w:val="0"/>
        <w:autoSpaceDE/>
        <w:bidi w:val="0"/>
        <w:snapToGrid w:val="0"/>
        <w:spacing w:line="560" w:lineRule="exact"/>
        <w:ind w:left="0" w:leftChars="0" w:firstLine="640" w:firstLineChars="0"/>
        <w:rPr>
          <w:b w:val="0"/>
        </w:rPr>
      </w:pPr>
      <w:r>
        <w:rPr>
          <w:rFonts w:ascii="方正仿宋_GBK" w:hAnsi="方正仿宋_GBK" w:eastAsia="方正仿宋_GBK" w:cs="方正仿宋_GBK"/>
          <w:b/>
          <w:bCs/>
          <w:sz w:val="32"/>
          <w:szCs w:val="32"/>
        </w:rPr>
        <w:t>年度绩效目标</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color w:val="auto"/>
          <w:sz w:val="32"/>
          <w:szCs w:val="32"/>
        </w:rPr>
        <w:t>2025年，建邺分局坚持以习近平新时代中国特色社会主义思想为指引，认真学习党的二十大和二十届二中、三中、四中全会精神，深入贯彻习近平总书记关于高质量发展和新时代公安工作的重要论述，以“进一步完善服务高质量发展体系，为加快构建新发展格局贡献更大公安力量”为主题，以扎实推进“化解矛盾风险 维护社会稳定”专项行动为抓手，以深入开展中央八项规定精神学习教育为保障，持续深化“2+3+N”现代警务机制建设，不断提升公安新质战斗力，全力打好防风险、保安全、护稳定、促发展组合拳，以实际行动护航中国式现代化建邺新实践。</w:t>
      </w:r>
      <w:r>
        <w:rPr>
          <w:rFonts w:ascii="方正仿宋_GBK" w:hAnsi="方正仿宋_GBK" w:eastAsia="方正仿宋_GBK" w:cs="方正仿宋_GBK"/>
          <w:sz w:val="32"/>
          <w:szCs w:val="32"/>
        </w:rPr>
        <w:t>2025年分局年度绩效目标主要聚焦在以下几个方面：一是完成上级下达的各项年度重点任务；二是保障机构正常运转，人员经费和公用经费执行率达到95%以上；三是项目支出按计划推进，预算执行率达到90%以上；四是“三公”经费控制在预算范围内；五是提升服务对象满意度。</w:t>
      </w:r>
    </w:p>
    <w:p>
      <w:pPr>
        <w:pStyle w:val="3"/>
        <w:pageBreakBefore w:val="0"/>
        <w:widowControl/>
        <w:numPr>
          <w:ilvl w:val="0"/>
          <w:numId w:val="2"/>
        </w:numPr>
        <w:kinsoku/>
        <w:wordWrap/>
        <w:overflowPunct/>
        <w:topLinePunct w:val="0"/>
        <w:autoSpaceDE/>
        <w:bidi w:val="0"/>
        <w:snapToGrid w:val="0"/>
        <w:spacing w:line="560" w:lineRule="exact"/>
        <w:ind w:left="0" w:leftChars="0" w:firstLine="640" w:firstLineChars="0"/>
        <w:rPr>
          <w:b w:val="0"/>
        </w:rPr>
      </w:pPr>
      <w:r>
        <w:rPr>
          <w:rFonts w:ascii="方正黑体_GBK" w:hAnsi="方正黑体_GBK" w:eastAsia="方正黑体_GBK" w:cs="方正黑体_GBK"/>
          <w:sz w:val="32"/>
          <w:szCs w:val="32"/>
        </w:rPr>
        <w:t>评价结论</w:t>
      </w:r>
    </w:p>
    <w:p>
      <w:pPr>
        <w:pStyle w:val="16"/>
        <w:pageBreakBefore w:val="0"/>
        <w:widowControl/>
        <w:numPr>
          <w:ilvl w:val="0"/>
          <w:numId w:val="9"/>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ascii="方正仿宋_GBK" w:hAnsi="方正仿宋_GBK" w:eastAsia="方正仿宋_GBK" w:cs="方正仿宋_GBK"/>
          <w:sz w:val="32"/>
          <w:szCs w:val="32"/>
        </w:rPr>
        <w:t>评价对象与范围</w:t>
      </w:r>
    </w:p>
    <w:p>
      <w:pPr>
        <w:pStyle w:val="16"/>
        <w:pageBreakBefore w:val="0"/>
        <w:widowControl/>
        <w:kinsoku/>
        <w:wordWrap/>
        <w:overflowPunct/>
        <w:topLinePunct w:val="0"/>
        <w:autoSpaceDE/>
        <w:bidi w:val="0"/>
        <w:snapToGrid w:val="0"/>
        <w:spacing w:line="560" w:lineRule="exact"/>
        <w:rPr>
          <w:rFonts w:hint="default" w:ascii="方正仿宋_GBK" w:hAnsi="Calibri" w:eastAsia="方正仿宋_GBK" w:cs="Times New Roman"/>
          <w:sz w:val="32"/>
          <w:lang w:val="en-US" w:eastAsia="zh-CN"/>
        </w:rPr>
      </w:pPr>
      <w:r>
        <w:rPr>
          <w:rFonts w:ascii="方正仿宋_GBK" w:hAnsi="方正仿宋_GBK" w:eastAsia="方正仿宋_GBK" w:cs="方正仿宋_GBK"/>
          <w:sz w:val="32"/>
          <w:szCs w:val="32"/>
        </w:rPr>
        <w:t>本次评价对象为南京市</w:t>
      </w:r>
      <w:r>
        <w:rPr>
          <w:rFonts w:hint="eastAsia" w:ascii="方正仿宋_GBK" w:hAnsi="方正仿宋_GBK" w:eastAsia="方正仿宋_GBK" w:cs="方正仿宋_GBK"/>
          <w:sz w:val="32"/>
          <w:szCs w:val="32"/>
          <w:lang w:eastAsia="zh-CN"/>
        </w:rPr>
        <w:t>公安局</w:t>
      </w:r>
      <w:r>
        <w:rPr>
          <w:rFonts w:ascii="方正仿宋_GBK" w:hAnsi="方正仿宋_GBK" w:eastAsia="方正仿宋_GBK" w:cs="方正仿宋_GBK"/>
          <w:sz w:val="32"/>
          <w:szCs w:val="32"/>
        </w:rPr>
        <w:t>建邺分局部门整体资金35228.82万元，评价范围涵盖分局2025年度全部财政拨款收支活动，包括基本支出33927.66万元和项目支出1301.16万元。</w:t>
      </w:r>
      <w:r>
        <w:rPr>
          <w:rFonts w:hint="eastAsia" w:ascii="方正仿宋_GBK" w:hAnsi="方正仿宋_GBK" w:eastAsia="方正仿宋_GBK" w:cs="方正仿宋_GBK"/>
          <w:sz w:val="32"/>
          <w:szCs w:val="32"/>
          <w:lang w:val="en-US" w:eastAsia="zh-CN"/>
        </w:rPr>
        <w:t>评价时段为2025年1月1日至12月31日。</w:t>
      </w:r>
    </w:p>
    <w:p>
      <w:pPr>
        <w:pStyle w:val="16"/>
        <w:pageBreakBefore w:val="0"/>
        <w:widowControl/>
        <w:numPr>
          <w:ilvl w:val="0"/>
          <w:numId w:val="9"/>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Fonts w:hint="eastAsia" w:ascii="方正仿宋_GBK" w:hAnsi="方正仿宋_GBK" w:eastAsia="方正仿宋_GBK" w:cs="方正仿宋_GBK"/>
          <w:b w:val="0"/>
          <w:sz w:val="32"/>
          <w:szCs w:val="32"/>
          <w:lang w:val="en-US" w:eastAsia="zh-CN"/>
        </w:rPr>
        <w:t>绩效评价结论</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ascii="方正仿宋_GBK" w:hAnsi="Calibri" w:eastAsia="方正仿宋_GBK" w:cs="Times New Roman"/>
          <w:b w:val="0"/>
          <w:sz w:val="32"/>
        </w:rPr>
      </w:pPr>
      <w:r>
        <w:rPr>
          <w:rFonts w:ascii="方正仿宋_GBK" w:hAnsi="方正仿宋_GBK" w:eastAsia="方正仿宋_GBK" w:cs="方正仿宋_GBK"/>
          <w:color w:val="000000"/>
          <w:sz w:val="32"/>
          <w:szCs w:val="32"/>
        </w:rPr>
        <w:t>2025年度南京市公安局建邺分局整体绩效评价得分97分，等级为“优”。2025年度南京市公安局建邺分局</w:t>
      </w:r>
      <w:r>
        <w:rPr>
          <w:rFonts w:ascii="方正仿宋_GBK" w:hAnsi="方正仿宋_GBK" w:eastAsia="方正仿宋_GBK" w:cs="方正仿宋_GBK"/>
          <w:color w:val="auto"/>
          <w:sz w:val="32"/>
          <w:szCs w:val="32"/>
        </w:rPr>
        <w:t>坚持以习近平新时代中国特色社会主义思想为指引，深入贯彻习近平总书记关于高质量发展和新时代公安工作的重要论述，</w:t>
      </w:r>
      <w:r>
        <w:rPr>
          <w:rFonts w:hint="eastAsia" w:ascii="方正仿宋_GBK" w:hAnsi="方正仿宋_GBK" w:eastAsia="方正仿宋_GBK" w:cs="方正仿宋_GBK"/>
          <w:color w:val="auto"/>
          <w:sz w:val="32"/>
          <w:szCs w:val="32"/>
          <w:lang w:val="en-US" w:eastAsia="zh-CN"/>
        </w:rPr>
        <w:t>在市局党委的坚强领导下，</w:t>
      </w:r>
      <w:r>
        <w:rPr>
          <w:rFonts w:ascii="方正仿宋_GBK" w:hAnsi="方正仿宋_GBK" w:eastAsia="方正仿宋_GBK" w:cs="方正仿宋_GBK"/>
          <w:color w:val="auto"/>
          <w:sz w:val="32"/>
          <w:szCs w:val="32"/>
        </w:rPr>
        <w:t>以扎实推进“化解矛盾风险 维护社会稳定”专项行动为抓手，持续深化“2+3+N”现代警务机制建设，不断提升公安新质战斗力，全力打好防风险、保安全、护稳定、促发展组合拳，以实际行动护航中国式现代化建邺新实践</w:t>
      </w:r>
      <w:r>
        <w:rPr>
          <w:rFonts w:hint="eastAsia" w:ascii="方正仿宋_GBK" w:hAnsi="方正仿宋_GBK" w:eastAsia="方正仿宋_GBK" w:cs="方正仿宋_GBK"/>
          <w:color w:val="auto"/>
          <w:sz w:val="32"/>
          <w:szCs w:val="32"/>
          <w:lang w:eastAsia="zh-CN"/>
        </w:rPr>
        <w:t>。</w:t>
      </w:r>
    </w:p>
    <w:p>
      <w:pPr>
        <w:pStyle w:val="3"/>
        <w:pageBreakBefore w:val="0"/>
        <w:widowControl/>
        <w:numPr>
          <w:ilvl w:val="0"/>
          <w:numId w:val="2"/>
        </w:numPr>
        <w:kinsoku/>
        <w:wordWrap/>
        <w:overflowPunct/>
        <w:topLinePunct w:val="0"/>
        <w:autoSpaceDE/>
        <w:bidi w:val="0"/>
        <w:snapToGrid w:val="0"/>
        <w:spacing w:line="560" w:lineRule="exact"/>
        <w:ind w:left="0" w:leftChars="0" w:firstLine="640" w:firstLineChars="0"/>
        <w:rPr>
          <w:b w:val="0"/>
        </w:rPr>
      </w:pPr>
      <w:r>
        <w:rPr>
          <w:rFonts w:ascii="方正黑体_GBK" w:hAnsi="方正黑体_GBK" w:eastAsia="方正黑体_GBK" w:cs="方正黑体_GBK"/>
          <w:sz w:val="32"/>
          <w:szCs w:val="32"/>
        </w:rPr>
        <w:t>履职成效</w:t>
      </w:r>
    </w:p>
    <w:p>
      <w:pPr>
        <w:pStyle w:val="16"/>
        <w:pageBreakBefore w:val="0"/>
        <w:widowControl/>
        <w:kinsoku/>
        <w:wordWrap/>
        <w:overflowPunct/>
        <w:topLinePunct w:val="0"/>
        <w:autoSpaceDE/>
        <w:bidi w:val="0"/>
        <w:snapToGrid w:val="0"/>
        <w:spacing w:line="560" w:lineRule="exact"/>
        <w:rPr>
          <w:rFonts w:ascii="方正仿宋_GBK" w:hAnsi="Calibri" w:eastAsia="方正仿宋_GBK" w:cs="Times New Roman"/>
          <w:sz w:val="32"/>
        </w:rPr>
      </w:pPr>
      <w:r>
        <w:rPr>
          <w:rFonts w:ascii="方正仿宋_GBK" w:hAnsi="方正仿宋_GBK" w:eastAsia="方正仿宋_GBK" w:cs="方正仿宋_GBK"/>
          <w:sz w:val="32"/>
          <w:szCs w:val="32"/>
        </w:rPr>
        <w:t>2025年，分局在上级主管部门和地方</w:t>
      </w:r>
      <w:r>
        <w:rPr>
          <w:rFonts w:hint="eastAsia" w:ascii="方正仿宋_GBK" w:hAnsi="方正仿宋_GBK" w:eastAsia="方正仿宋_GBK" w:cs="方正仿宋_GBK"/>
          <w:sz w:val="32"/>
          <w:szCs w:val="32"/>
          <w:lang w:eastAsia="zh-CN"/>
        </w:rPr>
        <w:t>党委、政府</w:t>
      </w:r>
      <w:r>
        <w:rPr>
          <w:rFonts w:ascii="方正仿宋_GBK" w:hAnsi="方正仿宋_GBK" w:eastAsia="方正仿宋_GBK" w:cs="方正仿宋_GBK"/>
          <w:sz w:val="32"/>
          <w:szCs w:val="32"/>
        </w:rPr>
        <w:t>的领导下，围绕年度工作目标，认真履行部门职责，主要履职成效如下：</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一是继续打牢安全稳定的基石。</w:t>
      </w:r>
      <w:r>
        <w:rPr>
          <w:rFonts w:hint="eastAsia" w:ascii="方正仿宋_GBK" w:hAnsi="方正仿宋_GBK" w:eastAsia="方正仿宋_GBK" w:cs="方正仿宋_GBK"/>
          <w:color w:val="auto"/>
          <w:sz w:val="32"/>
          <w:szCs w:val="32"/>
          <w:lang w:val="en-US" w:eastAsia="zh-CN"/>
        </w:rPr>
        <w:t>紧盯敏感节点，坚决防止发生有影响敏感案事件。圆满国家公祭、省“两会”、南京马拉松重要会议安保。</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二是深入推进平安建设。</w:t>
      </w:r>
      <w:r>
        <w:rPr>
          <w:rFonts w:hint="eastAsia" w:ascii="方正仿宋_GBK" w:hAnsi="方正仿宋_GBK" w:eastAsia="方正仿宋_GBK" w:cs="方正仿宋_GBK"/>
          <w:color w:val="auto"/>
          <w:sz w:val="32"/>
          <w:szCs w:val="32"/>
          <w:lang w:eastAsia="zh-CN"/>
        </w:rPr>
        <w:t>深入推</w:t>
      </w:r>
      <w:r>
        <w:rPr>
          <w:rFonts w:hint="eastAsia" w:ascii="方正仿宋_GBK" w:hAnsi="方正仿宋_GBK" w:eastAsia="方正仿宋_GBK" w:cs="方正仿宋_GBK"/>
          <w:color w:val="auto"/>
          <w:sz w:val="32"/>
          <w:szCs w:val="32"/>
          <w:lang w:val="en-US" w:eastAsia="zh-CN"/>
        </w:rPr>
        <w:t>进“冬季行动”“夏季行动”“亮剑安宁行动”等专项工作，现行命案、八类案件、性侵案件全部告破，全区电诈警情数、立案数实现“双下降”，</w:t>
      </w:r>
      <w:r>
        <w:rPr>
          <w:rFonts w:hint="eastAsia" w:ascii="方正仿宋_GBK" w:hAnsi="方正仿宋_GBK" w:eastAsia="方正仿宋_GBK" w:cs="方正仿宋_GBK"/>
          <w:b w:val="0"/>
          <w:bCs w:val="0"/>
          <w:color w:val="auto"/>
          <w:sz w:val="32"/>
          <w:szCs w:val="32"/>
          <w:lang w:val="en-US" w:eastAsia="zh-CN"/>
        </w:rPr>
        <w:t>全区盗窃类发案同比压降，盗窃非机动车同比下降。</w:t>
      </w:r>
      <w:r>
        <w:rPr>
          <w:rFonts w:hint="eastAsia" w:ascii="方正仿宋_GBK" w:hAnsi="方正仿宋_GBK" w:eastAsia="方正仿宋_GBK" w:cs="方正仿宋_GBK"/>
          <w:color w:val="auto"/>
          <w:sz w:val="32"/>
          <w:szCs w:val="32"/>
          <w:lang w:val="en-US" w:eastAsia="zh-CN"/>
        </w:rPr>
        <w:t>紧盯黄赌实体场所、未成年人涉黄违法犯罪等打击重点，强化穿透式研判，全力提升娼赌打击质效</w:t>
      </w:r>
      <w:r>
        <w:rPr>
          <w:rFonts w:hint="eastAsia" w:ascii="方正仿宋_GBK" w:hAnsi="方正仿宋_GBK" w:eastAsia="方正仿宋_GBK" w:cs="方正仿宋_GBK"/>
          <w:color w:val="auto"/>
          <w:sz w:val="32"/>
          <w:szCs w:val="32"/>
          <w:lang w:eastAsia="zh-CN"/>
        </w:rPr>
        <w:t>。</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三是强化改革创新的势头。</w:t>
      </w:r>
      <w:r>
        <w:rPr>
          <w:rFonts w:hint="eastAsia" w:ascii="方正仿宋_GBK" w:hAnsi="方正仿宋_GBK" w:eastAsia="方正仿宋_GBK" w:cs="方正仿宋_GBK"/>
          <w:color w:val="auto"/>
          <w:sz w:val="32"/>
          <w:szCs w:val="32"/>
          <w:lang w:val="en-US" w:eastAsia="zh-CN"/>
        </w:rPr>
        <w:t>优化做强“两个牵引、三个支撑、N项保障”现代警务新机制。</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四是凸显服务发展的效果。</w:t>
      </w:r>
      <w:r>
        <w:rPr>
          <w:rFonts w:hint="eastAsia" w:ascii="方正仿宋_GBK" w:hAnsi="方正仿宋_GBK" w:eastAsia="方正仿宋_GBK" w:cs="方正仿宋_GBK"/>
          <w:color w:val="auto"/>
          <w:sz w:val="32"/>
          <w:szCs w:val="32"/>
          <w:lang w:val="en-US" w:eastAsia="zh-CN"/>
        </w:rPr>
        <w:t>在主城区率先推行高效办成公民个人身份信息变更更正“一件事”联办试点。政务服务群众满意率保持在99%以上。组织开展警企会客厅、合成服务进企业、进园区等活动，开通“境捷专窗”为10余家企业100余人“出海抢单”提供集中式快办服务，助力境外重点能源项目、重大建设工程按期推进。</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ascii="方正仿宋_GBK" w:hAnsi="Calibri" w:eastAsia="方正仿宋_GBK" w:cs="Times New Roman"/>
          <w:b w:val="0"/>
          <w:sz w:val="32"/>
        </w:rPr>
      </w:pPr>
      <w:r>
        <w:rPr>
          <w:rFonts w:hint="eastAsia" w:ascii="方正仿宋_GBK" w:hAnsi="方正仿宋_GBK" w:eastAsia="方正仿宋_GBK" w:cs="方正仿宋_GBK"/>
          <w:b/>
          <w:bCs/>
          <w:color w:val="auto"/>
          <w:sz w:val="32"/>
          <w:szCs w:val="32"/>
          <w:lang w:val="en-US" w:eastAsia="zh-CN"/>
        </w:rPr>
        <w:t>五是</w:t>
      </w:r>
      <w:r>
        <w:rPr>
          <w:rFonts w:ascii="方正仿宋_GBK" w:hAnsi="方正仿宋_GBK" w:eastAsia="方正仿宋_GBK" w:cs="方正仿宋_GBK"/>
          <w:b/>
          <w:bCs/>
          <w:sz w:val="32"/>
          <w:szCs w:val="32"/>
        </w:rPr>
        <w:t>预算执行有力，资金保障到位</w:t>
      </w:r>
      <w:r>
        <w:rPr>
          <w:rFonts w:ascii="方正仿宋_GBK" w:hAnsi="方正仿宋_GBK" w:eastAsia="方正仿宋_GBK" w:cs="方正仿宋_GBK"/>
          <w:sz w:val="32"/>
          <w:szCs w:val="32"/>
        </w:rPr>
        <w:t>。全年财政拨款预算执行率99.23%，基本支出执行率99.32%，项目支出执行率99.66%，均达到较高水平，确保了机构正常运转和各项重点工作的顺利推进。预算调整幅度11.72%，调整原因主要为人员经费追加及上级专项资金追加，调整程序规范、依据充分。</w:t>
      </w:r>
    </w:p>
    <w:p>
      <w:pPr>
        <w:pStyle w:val="3"/>
        <w:pageBreakBefore w:val="0"/>
        <w:widowControl/>
        <w:numPr>
          <w:ilvl w:val="0"/>
          <w:numId w:val="2"/>
        </w:numPr>
        <w:kinsoku/>
        <w:wordWrap/>
        <w:overflowPunct/>
        <w:topLinePunct w:val="0"/>
        <w:autoSpaceDE/>
        <w:bidi w:val="0"/>
        <w:snapToGrid w:val="0"/>
        <w:spacing w:line="560" w:lineRule="exact"/>
        <w:ind w:left="0" w:leftChars="0" w:firstLine="640" w:firstLineChars="0"/>
        <w:rPr>
          <w:b w:val="0"/>
        </w:rPr>
      </w:pPr>
      <w:r>
        <w:rPr>
          <w:rFonts w:ascii="方正黑体_GBK" w:hAnsi="方正黑体_GBK" w:eastAsia="方正黑体_GBK" w:cs="方正黑体_GBK"/>
          <w:sz w:val="32"/>
          <w:szCs w:val="32"/>
        </w:rPr>
        <w:t>存在问题及原因分析</w:t>
      </w:r>
    </w:p>
    <w:p>
      <w:pPr>
        <w:pStyle w:val="16"/>
        <w:pageBreakBefore w:val="0"/>
        <w:widowControl/>
        <w:numPr>
          <w:ilvl w:val="0"/>
          <w:numId w:val="10"/>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Style w:val="29"/>
          <w:rFonts w:ascii="方正仿宋_GBK" w:hAnsi="方正仿宋_GBK" w:eastAsia="方正仿宋_GBK" w:cs="方正仿宋_GBK"/>
          <w:sz w:val="32"/>
          <w:szCs w:val="32"/>
        </w:rPr>
        <w:t>项目支出占比较低，财政资金主要用于人员保障</w:t>
      </w:r>
      <w:r>
        <w:rPr>
          <w:rFonts w:ascii="方正仿宋_GBK" w:hAnsi="方正仿宋_GBK" w:eastAsia="方正仿宋_GBK" w:cs="方正仿宋_GBK"/>
          <w:sz w:val="32"/>
          <w:szCs w:val="32"/>
        </w:rPr>
        <w:t>。2025年项目支出1297.70万元，仅占总支出的3.71%，基本支出中人员经费占比90.31%。主要原因是分局为派出机构，人员编制较多，人员经费支出基数较大，可用于项目建设和业务发展的资金相对有限。</w:t>
      </w:r>
    </w:p>
    <w:p>
      <w:pPr>
        <w:pStyle w:val="16"/>
        <w:pageBreakBefore w:val="0"/>
        <w:widowControl/>
        <w:numPr>
          <w:ilvl w:val="0"/>
          <w:numId w:val="10"/>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Style w:val="29"/>
          <w:rFonts w:ascii="方正仿宋_GBK" w:hAnsi="方正仿宋_GBK" w:eastAsia="方正仿宋_GBK" w:cs="方正仿宋_GBK"/>
          <w:sz w:val="32"/>
          <w:szCs w:val="32"/>
        </w:rPr>
        <w:t>公用经费预算执行率虽高但结构可优化</w:t>
      </w:r>
      <w:r>
        <w:rPr>
          <w:rFonts w:ascii="方正仿宋_GBK" w:hAnsi="方正仿宋_GBK" w:eastAsia="方正仿宋_GBK" w:cs="方正仿宋_GBK"/>
          <w:sz w:val="32"/>
          <w:szCs w:val="32"/>
        </w:rPr>
        <w:t>。公用经费3266.07万元，执行率99.81%，但车均运行维护费2.93万元/辆/年，160辆公务用车运行维护成本较高，可进一步探索集约化用车管理模式，降低运行成本。</w:t>
      </w:r>
    </w:p>
    <w:p>
      <w:pPr>
        <w:pStyle w:val="16"/>
        <w:pageBreakBefore w:val="0"/>
        <w:numPr>
          <w:ilvl w:val="0"/>
          <w:numId w:val="10"/>
        </w:numPr>
        <w:kinsoku/>
        <w:wordWrap/>
        <w:overflowPunct/>
        <w:topLinePunct w:val="0"/>
        <w:autoSpaceDE/>
        <w:bidi w:val="0"/>
        <w:snapToGrid w:val="0"/>
        <w:spacing w:line="560" w:lineRule="exact"/>
        <w:ind w:left="0" w:leftChars="0" w:firstLine="640" w:firstLineChars="0"/>
        <w:rPr>
          <w:rFonts w:hint="eastAsia" w:ascii="Times New Roman" w:hAnsi="Times New Roman" w:eastAsia="方正仿宋_GB2312" w:cs="方正仿宋_GB2312"/>
          <w:sz w:val="32"/>
          <w:szCs w:val="32"/>
          <w:lang w:eastAsia="zh-CN"/>
        </w:rPr>
      </w:pPr>
      <w:r>
        <w:rPr>
          <w:rFonts w:ascii="方正仿宋_GBK" w:hAnsi="方正仿宋_GBK" w:eastAsia="方正仿宋_GBK" w:cs="方正仿宋_GBK"/>
          <w:sz w:val="32"/>
          <w:szCs w:val="32"/>
        </w:rPr>
        <w:t>绩效管理工作基础薄弱、对年度整体工作把控不足。具体体现在：一是项目事前绩效评估机制有待加强。由于2025年度绩效目标为2024年底编制</w:t>
      </w:r>
      <w:r>
        <w:rPr>
          <w:rFonts w:hint="eastAsia" w:ascii="方正仿宋_GBK" w:hAnsi="方正仿宋_GBK" w:eastAsia="方正仿宋_GBK" w:cs="方正仿宋_GBK"/>
          <w:sz w:val="32"/>
          <w:szCs w:val="32"/>
          <w:lang w:val="en-US" w:eastAsia="zh-CN"/>
        </w:rPr>
        <w:t>2025年</w:t>
      </w:r>
      <w:r>
        <w:rPr>
          <w:rFonts w:ascii="方正仿宋_GBK" w:hAnsi="方正仿宋_GBK" w:eastAsia="方正仿宋_GBK" w:cs="方正仿宋_GBK"/>
          <w:sz w:val="32"/>
          <w:szCs w:val="32"/>
        </w:rPr>
        <w:t>预算时制订，容易对2025年全年工作预计不足，如警务科技装备配置等情况；二是缺乏相关专业人才，影响了部门绩效管理工作的科学性和规范性。</w:t>
      </w:r>
    </w:p>
    <w:p>
      <w:pPr>
        <w:pStyle w:val="3"/>
        <w:pageBreakBefore w:val="0"/>
        <w:widowControl/>
        <w:numPr>
          <w:ilvl w:val="0"/>
          <w:numId w:val="2"/>
        </w:numPr>
        <w:kinsoku/>
        <w:wordWrap/>
        <w:overflowPunct/>
        <w:topLinePunct w:val="0"/>
        <w:autoSpaceDE/>
        <w:bidi w:val="0"/>
        <w:snapToGrid w:val="0"/>
        <w:spacing w:line="560" w:lineRule="exact"/>
        <w:ind w:left="0" w:leftChars="0" w:firstLine="640" w:firstLineChars="0"/>
        <w:rPr>
          <w:b w:val="0"/>
        </w:rPr>
      </w:pPr>
      <w:r>
        <w:rPr>
          <w:rFonts w:ascii="方正黑体_GBK" w:hAnsi="方正黑体_GBK" w:eastAsia="方正黑体_GBK" w:cs="方正黑体_GBK"/>
          <w:sz w:val="32"/>
          <w:szCs w:val="32"/>
        </w:rPr>
        <w:t>有关建议</w:t>
      </w:r>
    </w:p>
    <w:p>
      <w:pPr>
        <w:pStyle w:val="16"/>
        <w:pageBreakBefore w:val="0"/>
        <w:widowControl/>
        <w:numPr>
          <w:ilvl w:val="0"/>
          <w:numId w:val="11"/>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Style w:val="29"/>
          <w:rFonts w:ascii="方正仿宋_GBK" w:hAnsi="方正仿宋_GBK" w:eastAsia="方正仿宋_GBK" w:cs="方正仿宋_GBK"/>
          <w:sz w:val="32"/>
          <w:szCs w:val="32"/>
        </w:rPr>
        <w:t>优化支出结构，加大项目投入力度</w:t>
      </w:r>
      <w:r>
        <w:rPr>
          <w:rFonts w:ascii="方正仿宋_GBK" w:hAnsi="方正仿宋_GBK" w:eastAsia="方正仿宋_GBK" w:cs="方正仿宋_GBK"/>
          <w:sz w:val="32"/>
          <w:szCs w:val="32"/>
        </w:rPr>
        <w:t>。建议在保障人员经费的基础上，合理调整支出结构，适当增加项目支出预算，重点保障业务发展和公共服务能力提升项目，提高财政资金配置效率。</w:t>
      </w:r>
    </w:p>
    <w:p>
      <w:pPr>
        <w:pStyle w:val="16"/>
        <w:pageBreakBefore w:val="0"/>
        <w:widowControl/>
        <w:numPr>
          <w:ilvl w:val="0"/>
          <w:numId w:val="11"/>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Style w:val="29"/>
          <w:rFonts w:ascii="方正仿宋_GBK" w:hAnsi="方正仿宋_GBK" w:eastAsia="方正仿宋_GBK" w:cs="方正仿宋_GBK"/>
          <w:sz w:val="32"/>
          <w:szCs w:val="32"/>
        </w:rPr>
        <w:t>加快预算执行进度，减少资金结转</w:t>
      </w:r>
      <w:r>
        <w:rPr>
          <w:rFonts w:ascii="方正仿宋_GBK" w:hAnsi="方正仿宋_GBK" w:eastAsia="方正仿宋_GBK" w:cs="方正仿宋_GBK"/>
          <w:sz w:val="32"/>
          <w:szCs w:val="32"/>
        </w:rPr>
        <w:t>。建议加强预算执行动态监控，按季度分析项目实施进度和资金使用情况，对执行偏慢的项目及时督促推进，切实提高财政资金使用时效，减少年末结转规模。</w:t>
      </w:r>
    </w:p>
    <w:p>
      <w:pPr>
        <w:pStyle w:val="16"/>
        <w:pageBreakBefore w:val="0"/>
        <w:widowControl/>
        <w:numPr>
          <w:ilvl w:val="0"/>
          <w:numId w:val="11"/>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Style w:val="29"/>
          <w:rFonts w:ascii="方正仿宋_GBK" w:hAnsi="方正仿宋_GBK" w:eastAsia="方正仿宋_GBK" w:cs="方正仿宋_GBK"/>
          <w:sz w:val="32"/>
          <w:szCs w:val="32"/>
        </w:rPr>
        <w:t>推进公务用车管理改革，降低运行成本</w:t>
      </w:r>
      <w:r>
        <w:rPr>
          <w:rFonts w:ascii="方正仿宋_GBK" w:hAnsi="方正仿宋_GBK" w:eastAsia="方正仿宋_GBK" w:cs="方正仿宋_GBK"/>
          <w:sz w:val="32"/>
          <w:szCs w:val="32"/>
        </w:rPr>
        <w:t>。建议探索公务用车集约化管理、定点维修、统一保险等模式，加强车辆使用登记和费用核算，切实降低车均运行维护费，提高车辆使用效率。</w:t>
      </w:r>
    </w:p>
    <w:p>
      <w:pPr>
        <w:pStyle w:val="16"/>
        <w:pageBreakBefore w:val="0"/>
        <w:widowControl/>
        <w:numPr>
          <w:ilvl w:val="0"/>
          <w:numId w:val="11"/>
        </w:numPr>
        <w:kinsoku/>
        <w:wordWrap/>
        <w:overflowPunct/>
        <w:topLinePunct w:val="0"/>
        <w:autoSpaceDE/>
        <w:bidi w:val="0"/>
        <w:snapToGrid w:val="0"/>
        <w:spacing w:line="560" w:lineRule="exact"/>
        <w:ind w:left="0" w:leftChars="0" w:firstLine="640" w:firstLineChars="0"/>
        <w:rPr>
          <w:rFonts w:ascii="方正仿宋_GBK" w:hAnsi="Calibri" w:eastAsia="方正仿宋_GBK" w:cs="Times New Roman"/>
          <w:b w:val="0"/>
          <w:sz w:val="32"/>
        </w:rPr>
      </w:pPr>
      <w:r>
        <w:rPr>
          <w:rStyle w:val="29"/>
          <w:rFonts w:ascii="方正仿宋_GBK" w:hAnsi="方正仿宋_GBK" w:eastAsia="方正仿宋_GBK" w:cs="方正仿宋_GBK"/>
          <w:sz w:val="32"/>
          <w:szCs w:val="32"/>
        </w:rPr>
        <w:t>建议开展绩效管理相关培训，提升我们对绩效管理的理解及对政策的把握。还可依托事务所等专业机构，结合业务实际给予指导，细化考核标准，防止绩效工作流于形式。</w:t>
      </w:r>
    </w:p>
    <w:p>
      <w:pPr>
        <w:pStyle w:val="3"/>
        <w:pageBreakBefore w:val="0"/>
        <w:widowControl/>
        <w:numPr>
          <w:ilvl w:val="0"/>
          <w:numId w:val="2"/>
        </w:numPr>
        <w:kinsoku/>
        <w:wordWrap/>
        <w:overflowPunct/>
        <w:topLinePunct w:val="0"/>
        <w:autoSpaceDE/>
        <w:bidi w:val="0"/>
        <w:snapToGrid w:val="0"/>
        <w:spacing w:line="560" w:lineRule="exact"/>
        <w:ind w:left="0" w:leftChars="0" w:firstLine="640" w:firstLineChars="0"/>
        <w:rPr>
          <w:b w:val="0"/>
        </w:rPr>
      </w:pPr>
      <w:r>
        <w:rPr>
          <w:rFonts w:ascii="方正黑体_GBK" w:hAnsi="方正黑体_GBK" w:eastAsia="方正黑体_GBK" w:cs="方正黑体_GBK"/>
          <w:sz w:val="32"/>
          <w:szCs w:val="32"/>
        </w:rPr>
        <w:t>评价工作开展情况及其他需说明的情况</w:t>
      </w:r>
    </w:p>
    <w:p>
      <w:pPr>
        <w:pStyle w:val="5"/>
        <w:pageBreakBefore w:val="0"/>
        <w:widowControl/>
        <w:kinsoku/>
        <w:wordWrap/>
        <w:overflowPunct/>
        <w:topLinePunct w:val="0"/>
        <w:autoSpaceDE/>
        <w:bidi w:val="0"/>
        <w:snapToGrid w:val="0"/>
        <w:spacing w:line="560" w:lineRule="exact"/>
        <w:rPr>
          <w:b w:val="0"/>
          <w:bCs w:val="0"/>
        </w:rPr>
      </w:pPr>
      <w:r>
        <w:rPr>
          <w:rFonts w:hint="eastAsia" w:cs="方正仿宋_GBK"/>
          <w:b w:val="0"/>
          <w:bCs w:val="0"/>
          <w:sz w:val="32"/>
          <w:szCs w:val="32"/>
          <w:lang w:val="en-US" w:eastAsia="zh-CN"/>
        </w:rPr>
        <w:t>(一）</w:t>
      </w:r>
      <w:r>
        <w:rPr>
          <w:rFonts w:ascii="方正仿宋_GBK" w:hAnsi="方正仿宋_GBK" w:eastAsia="方正仿宋_GBK" w:cs="方正仿宋_GBK"/>
          <w:b w:val="0"/>
          <w:bCs w:val="0"/>
          <w:sz w:val="32"/>
          <w:szCs w:val="32"/>
        </w:rPr>
        <w:t>评价思路及方法</w:t>
      </w:r>
    </w:p>
    <w:p>
      <w:pPr>
        <w:pStyle w:val="16"/>
        <w:pageBreakBefore w:val="0"/>
        <w:widowControl/>
        <w:kinsoku/>
        <w:wordWrap/>
        <w:overflowPunct/>
        <w:topLinePunct w:val="0"/>
        <w:autoSpaceDE/>
        <w:bidi w:val="0"/>
        <w:snapToGrid w:val="0"/>
        <w:spacing w:line="560" w:lineRule="exact"/>
        <w:rPr>
          <w:rStyle w:val="29"/>
          <w:rFonts w:ascii="方正仿宋_GBK" w:hAnsi="Calibri" w:eastAsia="方正仿宋_GBK" w:cs="Times New Roman"/>
          <w:sz w:val="32"/>
        </w:rPr>
      </w:pPr>
      <w:r>
        <w:rPr>
          <w:rStyle w:val="29"/>
          <w:rFonts w:ascii="方正仿宋_GBK" w:hAnsi="方正仿宋_GBK" w:eastAsia="方正仿宋_GBK" w:cs="方正仿宋_GBK"/>
          <w:sz w:val="32"/>
          <w:szCs w:val="32"/>
        </w:rPr>
        <w:t>根据部门职责、年度工作任务和绩效目标等，从运行成本、履职效能、社会效应、可持续发展能力和服务对象满意度等方面，对分局预算整体绩效进行分析。遵循客观公正，操作简便高效，尊重客观实际，实事求是的原则，主要采用因素分析法、投入产出效益分析法、比较法等方法。</w:t>
      </w:r>
    </w:p>
    <w:p>
      <w:pPr>
        <w:pStyle w:val="5"/>
        <w:pageBreakBefore w:val="0"/>
        <w:widowControl/>
        <w:kinsoku/>
        <w:wordWrap/>
        <w:overflowPunct/>
        <w:topLinePunct w:val="0"/>
        <w:autoSpaceDE/>
        <w:bidi w:val="0"/>
        <w:snapToGrid w:val="0"/>
        <w:spacing w:line="560" w:lineRule="exact"/>
        <w:rPr>
          <w:rFonts w:hint="eastAsia" w:ascii="方正仿宋_GBK" w:hAnsi="方正仿宋_GBK" w:eastAsia="方正仿宋_GBK" w:cs="方正仿宋_GBK"/>
          <w:b w:val="0"/>
          <w:bCs w:val="0"/>
          <w:sz w:val="32"/>
          <w:szCs w:val="32"/>
          <w:lang w:val="en-US" w:eastAsia="zh-CN"/>
        </w:rPr>
      </w:pPr>
      <w:r>
        <w:rPr>
          <w:rFonts w:hint="eastAsia" w:cs="方正仿宋_GBK"/>
          <w:b w:val="0"/>
          <w:bCs w:val="0"/>
          <w:sz w:val="32"/>
          <w:szCs w:val="32"/>
          <w:lang w:val="en-US" w:eastAsia="zh-CN"/>
        </w:rPr>
        <w:t>(二）</w:t>
      </w:r>
      <w:r>
        <w:rPr>
          <w:rFonts w:hint="eastAsia" w:ascii="方正仿宋_GBK" w:hAnsi="方正仿宋_GBK" w:eastAsia="方正仿宋_GBK" w:cs="方正仿宋_GBK"/>
          <w:b w:val="0"/>
          <w:bCs w:val="0"/>
          <w:sz w:val="32"/>
          <w:szCs w:val="32"/>
          <w:lang w:val="en-US" w:eastAsia="zh-CN"/>
        </w:rPr>
        <w:t>评价组织与分工</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Style w:val="29"/>
          <w:rFonts w:ascii="方正仿宋_GBK" w:hAnsi="Calibri" w:eastAsia="方正仿宋_GBK" w:cs="Times New Roman"/>
          <w:b w:val="0"/>
          <w:sz w:val="32"/>
        </w:rPr>
      </w:pPr>
      <w:r>
        <w:rPr>
          <w:rStyle w:val="29"/>
          <w:rFonts w:ascii="方正仿宋_GBK" w:hAnsi="方正仿宋_GBK" w:eastAsia="方正仿宋_GBK" w:cs="方正仿宋_GBK"/>
          <w:sz w:val="32"/>
          <w:szCs w:val="32"/>
        </w:rPr>
        <w:t>成立由单位分管财务的领导为组长、分管业务科室负责人为成员的绩效自评工作小组，明确分工，压实责任，统筹推进绩效自评工作落地。</w:t>
      </w:r>
    </w:p>
    <w:p>
      <w:pPr>
        <w:pStyle w:val="5"/>
        <w:pageBreakBefore w:val="0"/>
        <w:widowControl/>
        <w:kinsoku/>
        <w:wordWrap/>
        <w:overflowPunct/>
        <w:topLinePunct w:val="0"/>
        <w:autoSpaceDE/>
        <w:bidi w:val="0"/>
        <w:snapToGrid w:val="0"/>
        <w:spacing w:line="560" w:lineRule="exact"/>
        <w:rPr>
          <w:b w:val="0"/>
          <w:bCs w:val="0"/>
        </w:rPr>
      </w:pPr>
      <w:r>
        <w:rPr>
          <w:rFonts w:hint="eastAsia" w:cs="方正仿宋_GBK"/>
          <w:b w:val="0"/>
          <w:bCs w:val="0"/>
          <w:sz w:val="32"/>
          <w:szCs w:val="32"/>
          <w:lang w:val="en-US" w:eastAsia="zh-CN"/>
        </w:rPr>
        <w:t>(三）</w:t>
      </w:r>
      <w:r>
        <w:rPr>
          <w:rFonts w:ascii="方正仿宋_GBK" w:hAnsi="方正仿宋_GBK" w:eastAsia="方正仿宋_GBK" w:cs="方正仿宋_GBK"/>
          <w:b w:val="0"/>
          <w:bCs w:val="0"/>
          <w:sz w:val="32"/>
          <w:szCs w:val="32"/>
        </w:rPr>
        <w:t>评价过程</w:t>
      </w:r>
    </w:p>
    <w:p>
      <w:pPr>
        <w:pStyle w:val="16"/>
        <w:pageBreakBefore w:val="0"/>
        <w:widowControl/>
        <w:kinsoku/>
        <w:wordWrap/>
        <w:overflowPunct/>
        <w:topLinePunct w:val="0"/>
        <w:autoSpaceDE/>
        <w:bidi w:val="0"/>
        <w:snapToGrid w:val="0"/>
        <w:spacing w:line="560" w:lineRule="exact"/>
        <w:rPr>
          <w:rStyle w:val="29"/>
          <w:rFonts w:ascii="方正仿宋_GBK" w:hAnsi="Calibri" w:eastAsia="方正仿宋_GBK" w:cs="Times New Roman"/>
          <w:sz w:val="32"/>
        </w:rPr>
      </w:pPr>
      <w:r>
        <w:rPr>
          <w:rStyle w:val="29"/>
          <w:rFonts w:ascii="方正仿宋_GBK" w:hAnsi="方正仿宋_GBK" w:eastAsia="方正仿宋_GBK" w:cs="方正仿宋_GBK"/>
          <w:sz w:val="32"/>
          <w:szCs w:val="32"/>
        </w:rPr>
        <w:t>为扎实做好本年度单位整体绩效自评工作，我分局严格按照财政部门及上级主管部门的工作要求，有序组织开展自评各项工作。</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Style w:val="29"/>
          <w:rFonts w:ascii="方正仿宋_GBK" w:hAnsi="Calibri" w:eastAsia="方正仿宋_GBK" w:cs="Times New Roman"/>
          <w:b w:val="0"/>
          <w:sz w:val="32"/>
        </w:rPr>
      </w:pPr>
      <w:r>
        <w:rPr>
          <w:rStyle w:val="29"/>
          <w:rFonts w:hint="eastAsia" w:cs="方正仿宋_GBK"/>
          <w:sz w:val="32"/>
          <w:szCs w:val="32"/>
          <w:lang w:val="en-US" w:eastAsia="zh-CN"/>
        </w:rPr>
        <w:t>1.</w:t>
      </w:r>
      <w:r>
        <w:rPr>
          <w:rStyle w:val="29"/>
          <w:rFonts w:ascii="方正仿宋_GBK" w:hAnsi="方正仿宋_GBK" w:eastAsia="方正仿宋_GBK" w:cs="方正仿宋_GBK"/>
          <w:sz w:val="32"/>
          <w:szCs w:val="32"/>
        </w:rPr>
        <w:t>明确评价依据。本次自评严格依据《预算绩效管理办法》、年度部门预算批复文件、年初设定的整体绩效目标、各项业务管理制度及年度工作计划展开，评价范围覆盖单位全年全部财政资金、履职业务及各项绩效指标。</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Style w:val="29"/>
          <w:rFonts w:ascii="方正仿宋_GBK" w:hAnsi="Calibri" w:eastAsia="方正仿宋_GBK" w:cs="Times New Roman"/>
          <w:b w:val="0"/>
          <w:sz w:val="32"/>
        </w:rPr>
      </w:pPr>
      <w:r>
        <w:rPr>
          <w:rStyle w:val="29"/>
          <w:rFonts w:hint="eastAsia" w:cs="方正仿宋_GBK"/>
          <w:sz w:val="32"/>
          <w:szCs w:val="32"/>
          <w:lang w:val="en-US" w:eastAsia="zh-CN"/>
        </w:rPr>
        <w:t>2.</w:t>
      </w:r>
      <w:r>
        <w:rPr>
          <w:rStyle w:val="29"/>
          <w:rFonts w:ascii="方正仿宋_GBK" w:hAnsi="方正仿宋_GBK" w:eastAsia="方正仿宋_GBK" w:cs="方正仿宋_GBK"/>
          <w:sz w:val="32"/>
          <w:szCs w:val="32"/>
        </w:rPr>
        <w:t>规范实施流程。工作小组依次开展资料归集、指标对照、数据核实、逐项打分、综合分析等工作，对财务凭证、业务台账、工作档案、服务记录等原始资料注意核查，结合实际履职完成情况对各项绩效指标进行客观评价。</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Style w:val="29"/>
          <w:rFonts w:ascii="方正仿宋_GBK" w:hAnsi="Calibri" w:eastAsia="方正仿宋_GBK" w:cs="Times New Roman"/>
          <w:sz w:val="32"/>
        </w:rPr>
      </w:pPr>
      <w:r>
        <w:rPr>
          <w:rStyle w:val="29"/>
          <w:rFonts w:hint="eastAsia" w:cs="方正仿宋_GBK"/>
          <w:sz w:val="32"/>
          <w:szCs w:val="32"/>
          <w:lang w:val="en-US" w:eastAsia="zh-CN"/>
        </w:rPr>
        <w:t>3.</w:t>
      </w:r>
      <w:r>
        <w:rPr>
          <w:rStyle w:val="29"/>
          <w:rFonts w:ascii="方正仿宋_GBK" w:hAnsi="方正仿宋_GBK" w:eastAsia="方正仿宋_GBK" w:cs="方正仿宋_GBK"/>
          <w:sz w:val="32"/>
          <w:szCs w:val="32"/>
        </w:rPr>
        <w:t>严格质量把关。自评过程实事求是，广泛征求科室意见，反复修改完善自评内容，确保自评结果真实、准确、合规，最终形成本单位年度整体绩效自评报告。</w:t>
      </w:r>
    </w:p>
    <w:p>
      <w:pPr>
        <w:pStyle w:val="5"/>
        <w:pageBreakBefore w:val="0"/>
        <w:widowControl/>
        <w:kinsoku/>
        <w:wordWrap/>
        <w:overflowPunct/>
        <w:topLinePunct w:val="0"/>
        <w:autoSpaceDE/>
        <w:bidi w:val="0"/>
        <w:snapToGrid w:val="0"/>
        <w:spacing w:line="560" w:lineRule="exact"/>
        <w:rPr>
          <w:rFonts w:hint="eastAsia" w:ascii="方正仿宋_GBK" w:hAnsi="方正仿宋_GBK" w:eastAsia="方正仿宋_GBK" w:cs="方正仿宋_GBK"/>
          <w:b w:val="0"/>
          <w:bCs w:val="0"/>
          <w:sz w:val="32"/>
          <w:szCs w:val="32"/>
          <w:lang w:val="en-US" w:eastAsia="zh-CN"/>
        </w:rPr>
      </w:pPr>
      <w:r>
        <w:rPr>
          <w:rFonts w:hint="eastAsia" w:cs="方正仿宋_GBK"/>
          <w:b w:val="0"/>
          <w:bCs w:val="0"/>
          <w:sz w:val="32"/>
          <w:szCs w:val="32"/>
          <w:lang w:val="en-US" w:eastAsia="zh-CN"/>
        </w:rPr>
        <w:t>(四）</w:t>
      </w:r>
      <w:r>
        <w:rPr>
          <w:rFonts w:hint="eastAsia" w:ascii="方正仿宋_GBK" w:hAnsi="方正仿宋_GBK" w:eastAsia="方正仿宋_GBK" w:cs="方正仿宋_GBK"/>
          <w:b w:val="0"/>
          <w:bCs w:val="0"/>
          <w:sz w:val="32"/>
          <w:szCs w:val="32"/>
          <w:lang w:val="en-US" w:eastAsia="zh-CN"/>
        </w:rPr>
        <w:t>评价指标体系</w:t>
      </w:r>
    </w:p>
    <w:p>
      <w:pPr>
        <w:pStyle w:val="16"/>
        <w:pageBreakBefore w:val="0"/>
        <w:widowControl/>
        <w:numPr>
          <w:ilvl w:val="0"/>
          <w:numId w:val="0"/>
        </w:numPr>
        <w:tabs>
          <w:tab w:val="clear" w:pos="360"/>
        </w:tabs>
        <w:kinsoku/>
        <w:wordWrap/>
        <w:overflowPunct/>
        <w:topLinePunct w:val="0"/>
        <w:autoSpaceDE/>
        <w:bidi w:val="0"/>
        <w:snapToGrid w:val="0"/>
        <w:spacing w:line="560" w:lineRule="exact"/>
        <w:ind w:firstLine="640" w:firstLineChars="200"/>
        <w:rPr>
          <w:rFonts w:hint="default"/>
          <w:lang w:val="en-US" w:eastAsia="zh-CN"/>
        </w:rPr>
        <w:sectPr>
          <w:headerReference r:id="rId3" w:type="default"/>
          <w:footerReference r:id="rId5" w:type="default"/>
          <w:headerReference r:id="rId4" w:type="even"/>
          <w:footerReference r:id="rId6" w:type="even"/>
          <w:pgSz w:w="11906" w:h="16838"/>
          <w:pgMar w:top="2098" w:right="1474" w:bottom="1984" w:left="1587" w:header="851" w:footer="1417" w:gutter="0"/>
          <w:pgBorders>
            <w:top w:val="none" w:color="auto" w:sz="0" w:space="0"/>
            <w:left w:val="none" w:color="auto" w:sz="0" w:space="0"/>
            <w:bottom w:val="none" w:color="auto" w:sz="0" w:space="0"/>
            <w:right w:val="none" w:color="auto" w:sz="0" w:space="0"/>
          </w:pgBorders>
          <w:lnNumType w:countBy="0" w:distance="360"/>
          <w:pgNumType w:fmt="decimal" w:start="1"/>
          <w:cols w:space="0" w:num="1"/>
          <w:rtlGutter w:val="0"/>
          <w:docGrid w:type="linesAndChars" w:linePitch="534" w:charSpace="15"/>
        </w:sectPr>
      </w:pPr>
      <w:r>
        <w:rPr>
          <w:rFonts w:hint="eastAsia" w:ascii="方正仿宋_GBK" w:hAnsi="方正仿宋_GBK" w:eastAsia="方正仿宋_GBK" w:cs="方正仿宋_GBK"/>
          <w:color w:val="000000"/>
          <w:kern w:val="0"/>
          <w:sz w:val="32"/>
          <w:szCs w:val="32"/>
          <w:lang w:val="en-US" w:eastAsia="zh-CN"/>
        </w:rPr>
        <w:t>2025年南京市公安局建邺分局部门整体绩效评价指标体系共设计5个一级指标，18个二级指标，40个三级指标。表格附后。</w:t>
      </w:r>
    </w:p>
    <w:p>
      <w:pPr>
        <w:pageBreakBefore w:val="0"/>
        <w:widowControl/>
        <w:tabs>
          <w:tab w:val="left" w:pos="2418"/>
        </w:tabs>
        <w:kinsoku/>
        <w:wordWrap/>
        <w:overflowPunct/>
        <w:topLinePunct w:val="0"/>
        <w:autoSpaceDE/>
        <w:bidi w:val="0"/>
        <w:snapToGrid w:val="0"/>
        <w:spacing w:before="0" w:beforeLines="0" w:line="560" w:lineRule="exact"/>
        <w:jc w:val="center"/>
        <w:rPr>
          <w:rFonts w:ascii="方正仿宋_GB2312" w:eastAsia="方正仿宋_GB2312"/>
          <w:sz w:val="24"/>
        </w:rPr>
      </w:pPr>
      <w:r>
        <w:rPr>
          <w:rFonts w:hint="eastAsia" w:ascii="方正仿宋_GBK" w:hAnsi="方正仿宋_GBK" w:eastAsia="方正仿宋_GBK" w:cs="方正仿宋_GBK"/>
          <w:sz w:val="32"/>
          <w:szCs w:val="32"/>
          <w:lang w:val="en-US" w:eastAsia="zh-CN"/>
        </w:rPr>
        <w:t>南京市公安局建邺分局部门整体绩效评价指标体系</w:t>
      </w:r>
    </w:p>
    <w:tbl>
      <w:tblPr>
        <w:tblStyle w:val="27"/>
        <w:tblW w:w="1386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1016"/>
        <w:gridCol w:w="866"/>
        <w:gridCol w:w="1916"/>
        <w:gridCol w:w="1231"/>
        <w:gridCol w:w="783"/>
        <w:gridCol w:w="3960"/>
        <w:gridCol w:w="2972"/>
        <w:gridCol w:w="534"/>
        <w:gridCol w:w="5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tblHeader/>
          <w:jc w:val="center"/>
        </w:trPr>
        <w:tc>
          <w:tcPr>
            <w:tcW w:w="101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一级指标</w:t>
            </w:r>
          </w:p>
        </w:tc>
        <w:tc>
          <w:tcPr>
            <w:tcW w:w="2782"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二级指标</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三级指标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标准值</w:t>
            </w:r>
          </w:p>
        </w:tc>
        <w:tc>
          <w:tcPr>
            <w:tcW w:w="3960"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评分标准</w:t>
            </w:r>
          </w:p>
        </w:tc>
        <w:tc>
          <w:tcPr>
            <w:tcW w:w="2972"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评分过程</w:t>
            </w:r>
          </w:p>
        </w:tc>
        <w:tc>
          <w:tcPr>
            <w:tcW w:w="534"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权重</w:t>
            </w:r>
          </w:p>
        </w:tc>
        <w:tc>
          <w:tcPr>
            <w:tcW w:w="586"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决策（12分）</w:t>
            </w: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计划制定</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中长期规划制定健全性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健全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单位中长期规划是否明确（1分），科学（1分）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单位中长期规划明确、科学，得2分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工作计划制定健全性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健全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单位年度工作计划的制定是否明确（1分），科学（1分）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已制定科学明确的年度工作计划，有年度工作要点，得2分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目标设定</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绩效目标合理性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合理</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绩效目标与实际工作内容是否具有相关性（1分），绩效目标是否合理。（1分）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绩效目标与实际工作内容相关，设置合理，得2分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绩效指标明确性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明确</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是否细化分解为具体明确的（1分），指标值是否清晰、可衡量（1分）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绩效指标明确，清晰、可衡量，得2分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预算编制</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预算编制科学性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科学</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预算编制是否经过科学论证（1分），预算额度测算依据是否充分，是否按照标准编制（1分）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预算编制</w:t>
            </w: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经过科学论证，预算额度测算依据充分，按照标准编制，得2分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预算编制规范性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规范</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项目是否按照程序规范申请设立（1分），事前是否已经过必要的可行性研究、评估（1分）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项目按照程序规范设立，事前已经过必要的可行性研究、评估，得2分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过程（58分）</w:t>
            </w: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预算执行</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预算调整率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预算过程中是否中途变更调整，调整手续是否完备合规（2分）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预算过程中未申请变更调整，得2分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支付进度符合率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是否符合预算批复或合同规定的用途（2分）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支付中不存在截留、挤占、挪用等情况，得2分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Style w:val="3"/>
              <w:bidi w:val="0"/>
              <w:snapToGrid w:val="0"/>
              <w:spacing w:line="240" w:lineRule="auto"/>
              <w:ind w:left="0" w:leftChars="0" w:right="0" w:rightChars="0" w:firstLine="0" w:firstLineChars="0"/>
              <w:jc w:val="center"/>
              <w:rPr>
                <w:rFonts w:hint="default" w:ascii="方正仿宋_GBK" w:eastAsia="方正仿宋_GBK"/>
                <w:sz w:val="18"/>
                <w:lang w:eastAsia="zh-CN"/>
              </w:rPr>
            </w:pPr>
            <w:r>
              <w:rPr>
                <w:rFonts w:hint="default" w:ascii="方正仿宋_GBK" w:hAnsi="方正仿宋_GBK" w:eastAsia="方正仿宋_GBK" w:cs="方正仿宋_GBK"/>
                <w:sz w:val="18"/>
                <w:lang w:eastAsia="zh-CN"/>
              </w:rPr>
              <w:t>预算执行率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单位预算支出的预算执行情况（3分）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按单位预算实际执行率计算，未执行完毕，扣1分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结转结余率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未执行完毕的财政拨款是否结转下年（2分）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未执行完毕的财政拨款均由财政收回，得2分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公用经费控制率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单位对公用经费的控制程度（预、决算比率≦100%，2分）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公用经费，控制在标准范围内，得2分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“三公”经费</w:t>
            </w:r>
            <w:r>
              <w:rPr>
                <w:rFonts w:hint="default" w:ascii="方正仿宋_GBK" w:hAnsi="方正仿宋_GBK" w:eastAsia="方正仿宋_GBK" w:cs="方正仿宋_GBK"/>
                <w:b w:val="0"/>
                <w:bCs/>
                <w:i w:val="0"/>
                <w:snapToGrid/>
                <w:color w:val="000000"/>
                <w:sz w:val="18"/>
                <w:szCs w:val="18"/>
                <w:u w:val="none"/>
                <w:lang w:eastAsia="zh-CN"/>
              </w:rPr>
              <w:t>变动率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w:t>
            </w:r>
            <w:r>
              <w:rPr>
                <w:rFonts w:hint="eastAsia" w:ascii="方正仿宋_GBK" w:hAnsi="方正仿宋_GBK" w:eastAsia="方正仿宋_GBK" w:cs="方正仿宋_GBK"/>
                <w:b w:val="0"/>
                <w:bCs/>
                <w:i w:val="0"/>
                <w:snapToGrid/>
                <w:color w:val="000000"/>
                <w:sz w:val="18"/>
                <w:szCs w:val="18"/>
                <w:u w:val="none"/>
                <w:lang w:eastAsia="zh-CN"/>
              </w:rPr>
              <w:t>“三公”经费</w:t>
            </w:r>
            <w:r>
              <w:rPr>
                <w:rFonts w:hint="default" w:ascii="方正仿宋_GBK" w:hAnsi="方正仿宋_GBK" w:eastAsia="方正仿宋_GBK" w:cs="方正仿宋_GBK"/>
                <w:b w:val="0"/>
                <w:bCs/>
                <w:i w:val="0"/>
                <w:snapToGrid/>
                <w:color w:val="000000"/>
                <w:sz w:val="18"/>
                <w:szCs w:val="18"/>
                <w:u w:val="none"/>
                <w:lang w:eastAsia="zh-CN"/>
              </w:rPr>
              <w:t>变动情况，若不变动则不扣分（2分）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“三公”经费</w:t>
            </w:r>
            <w:r>
              <w:rPr>
                <w:rFonts w:hint="default" w:ascii="方正仿宋_GBK" w:hAnsi="方正仿宋_GBK" w:eastAsia="方正仿宋_GBK" w:cs="方正仿宋_GBK"/>
                <w:b w:val="0"/>
                <w:bCs/>
                <w:i w:val="0"/>
                <w:snapToGrid/>
                <w:color w:val="000000"/>
                <w:sz w:val="18"/>
                <w:szCs w:val="18"/>
                <w:u w:val="none"/>
                <w:lang w:eastAsia="zh-CN"/>
              </w:rPr>
              <w:t>未变动，得2分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政府采购执行率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纳入政府采购的资金能否按时执行（2分）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政府采购资金按时执行完毕，得2分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非税收入预算完成率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非税收入能否完成预算目标（2分）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非税收入完成预算目标，得2分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预算管理</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预算管理制度健全性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健全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单位是否</w:t>
            </w:r>
            <w:r>
              <w:rPr>
                <w:rFonts w:hint="eastAsia" w:ascii="方正仿宋_GBK" w:hAnsi="方正仿宋_GBK" w:eastAsia="方正仿宋_GBK" w:cs="方正仿宋_GBK"/>
                <w:b w:val="0"/>
                <w:bCs/>
                <w:i w:val="0"/>
                <w:snapToGrid/>
                <w:color w:val="000000"/>
                <w:sz w:val="18"/>
                <w:szCs w:val="18"/>
                <w:u w:val="none"/>
                <w:lang w:eastAsia="zh-CN"/>
              </w:rPr>
              <w:t>建立</w:t>
            </w:r>
            <w:r>
              <w:rPr>
                <w:rFonts w:hint="default" w:ascii="方正仿宋_GBK" w:hAnsi="方正仿宋_GBK" w:eastAsia="方正仿宋_GBK" w:cs="方正仿宋_GBK"/>
                <w:b w:val="0"/>
                <w:bCs/>
                <w:i w:val="0"/>
                <w:snapToGrid/>
                <w:color w:val="000000"/>
                <w:sz w:val="18"/>
                <w:szCs w:val="18"/>
                <w:u w:val="none"/>
                <w:lang w:eastAsia="zh-CN"/>
              </w:rPr>
              <w:t>健全完备的预算管理制度（3分）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建立完善健全的预算管理制度，得3分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资金使用合规性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合规</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是否严格按照制度执行资金管理各项工作。（3分）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严格按照制度执行资金管理，资金使用合规，得3分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绩效管理覆盖率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单位预算绩效管理是否全覆盖（2分）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本单位预算绩效管理已全覆盖，得2分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基础信息完善性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完善</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预算管理基础信息是否完善（2分）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本单位预算管理基础信息完善，得2分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预决算信息公开度</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公开</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预决算是否在“双平台”进行公开（1分），内容和时限是否符合要求（2分）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预决算工作已按规定及时进行公开，得3分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非税收入管理合规性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合规</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本单位非税收入管理是否合规（2分）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本单位非税收入管理合规，得2分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资产管理</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资产管理制度健全性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健全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单位是否</w:t>
            </w:r>
            <w:r>
              <w:rPr>
                <w:rFonts w:hint="eastAsia" w:ascii="方正仿宋_GBK" w:hAnsi="方正仿宋_GBK" w:eastAsia="方正仿宋_GBK" w:cs="方正仿宋_GBK"/>
                <w:b w:val="0"/>
                <w:bCs/>
                <w:i w:val="0"/>
                <w:snapToGrid/>
                <w:color w:val="000000"/>
                <w:sz w:val="18"/>
                <w:szCs w:val="18"/>
                <w:u w:val="none"/>
                <w:lang w:eastAsia="zh-CN"/>
              </w:rPr>
              <w:t>建立</w:t>
            </w:r>
            <w:r>
              <w:rPr>
                <w:rFonts w:hint="default" w:ascii="方正仿宋_GBK" w:hAnsi="方正仿宋_GBK" w:eastAsia="方正仿宋_GBK" w:cs="方正仿宋_GBK"/>
                <w:b w:val="0"/>
                <w:bCs/>
                <w:i w:val="0"/>
                <w:snapToGrid/>
                <w:color w:val="000000"/>
                <w:sz w:val="18"/>
                <w:szCs w:val="18"/>
                <w:u w:val="none"/>
                <w:lang w:eastAsia="zh-CN"/>
              </w:rPr>
              <w:t>健全完备的资产管理制度（3分）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建立完善健全的资产管理制度，得3分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资产管理规范性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规范</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单位资产管理制度执行是否规范、有效（3分）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单位资产管理制度执行规范、有效，得3分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固定资产利用率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固定资产是否完全利用，未闲置（2分）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本单位固定资产定期盘点，充分利用，并纳入公物仓统筹管理，得2分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项目管理</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项目管理制度健全性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健全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单位是否</w:t>
            </w:r>
            <w:r>
              <w:rPr>
                <w:rFonts w:hint="eastAsia" w:ascii="方正仿宋_GBK" w:hAnsi="方正仿宋_GBK" w:eastAsia="方正仿宋_GBK" w:cs="方正仿宋_GBK"/>
                <w:b w:val="0"/>
                <w:bCs/>
                <w:i w:val="0"/>
                <w:snapToGrid/>
                <w:color w:val="000000"/>
                <w:sz w:val="18"/>
                <w:szCs w:val="18"/>
                <w:u w:val="none"/>
                <w:lang w:eastAsia="zh-CN"/>
              </w:rPr>
              <w:t>建立</w:t>
            </w:r>
            <w:r>
              <w:rPr>
                <w:rFonts w:hint="default" w:ascii="方正仿宋_GBK" w:hAnsi="方正仿宋_GBK" w:eastAsia="方正仿宋_GBK" w:cs="方正仿宋_GBK"/>
                <w:b w:val="0"/>
                <w:bCs/>
                <w:i w:val="0"/>
                <w:snapToGrid/>
                <w:color w:val="000000"/>
                <w:sz w:val="18"/>
                <w:szCs w:val="18"/>
                <w:u w:val="none"/>
                <w:lang w:eastAsia="zh-CN"/>
              </w:rPr>
              <w:t>健全完备的项目管理制度（3分）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建立完善健全的项目管理制度，得3分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项目管理制度执行规范性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规范</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单位项目管理制度执行是否规范、有效（3分）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单位项目管理制度执行规范、有效，得3分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人员管理</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人员管理制度健全性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健全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单位是否建立有健全完备的人事管理制度（2分）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建立完善健全的人事管理制度，得2分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人员管理制度执行有效性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有效</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单位人员管理制度执行是否规范、有效（2分）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单位人员管理制度执行规范、有效，得2分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在职人员控制率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单位在职人数与核编人数是否匹配（2分）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单位在职人数与核编人数匹配，得2分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机构建设</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组织建设工作及时完成率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组织建设工作是否及时完成（2分）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组织建设工作能够及时完成得2分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业务学习与培训及时完成率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业务学习与培训是否及时完成（2分）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业务学习与培训及时完成率，得2分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auto"/>
              <w:rPr>
                <w:rFonts w:hint="default" w:ascii="方正仿宋_GBK" w:hAnsi="宋体" w:eastAsia="方正仿宋_GBK"/>
                <w:sz w:val="18"/>
              </w:rPr>
            </w:pP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纪检监察工作有效性</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有效</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本单位纪检监察工作是否有效（2分）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本单位纪检监察工作高效有序进行，得2分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履职（12分）</w:t>
            </w:r>
          </w:p>
        </w:tc>
        <w:tc>
          <w:tcPr>
            <w:tcW w:w="86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公安队伍管理</w:t>
            </w:r>
          </w:p>
        </w:tc>
        <w:tc>
          <w:tcPr>
            <w:tcW w:w="191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窗口服务满意度</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窗口服务满意度</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≥90%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通过电话回访等渠道测评人民群众对公安窗口服务的满意程度（3分）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实际窗口满意度达到目标值，得3分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86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打击违法犯罪</w:t>
            </w:r>
          </w:p>
        </w:tc>
        <w:tc>
          <w:tcPr>
            <w:tcW w:w="191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警方打击刑事犯罪的工作水平</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命案破案率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eastAsia" w:ascii="方正仿宋_GBK" w:hAnsi="方正仿宋_GBK" w:eastAsia="方正仿宋_GBK" w:cs="方正仿宋_GBK"/>
                <w:b w:val="0"/>
                <w:bCs/>
                <w:i w:val="0"/>
                <w:snapToGrid/>
                <w:color w:val="000000"/>
                <w:sz w:val="18"/>
                <w:szCs w:val="18"/>
                <w:u w:val="none"/>
                <w:lang w:eastAsia="zh-CN"/>
              </w:rPr>
              <w:t>=</w:t>
            </w:r>
            <w:r>
              <w:rPr>
                <w:rFonts w:hint="default" w:ascii="方正仿宋_GBK" w:hAnsi="方正仿宋_GBK" w:eastAsia="方正仿宋_GBK" w:cs="方正仿宋_GBK"/>
                <w:b w:val="0"/>
                <w:bCs/>
                <w:i w:val="0"/>
                <w:snapToGrid/>
                <w:color w:val="000000"/>
                <w:sz w:val="18"/>
                <w:szCs w:val="18"/>
                <w:u w:val="none"/>
                <w:lang w:eastAsia="zh-CN"/>
              </w:rPr>
              <w:t>100%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当年命案破案数/当年命案总数（3分）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当年发生命案全部侦破，得3分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86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受理公民报警求助</w:t>
            </w:r>
          </w:p>
        </w:tc>
        <w:tc>
          <w:tcPr>
            <w:tcW w:w="191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群众对社会治安满意度</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群众对110接处警满意度</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≥94%</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通过短信回访等渠道测评报警群众对公安机关接处警情况满意度（3分）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实际接处警满意度达到目标值，得3分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86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信息化建设</w:t>
            </w:r>
          </w:p>
        </w:tc>
        <w:tc>
          <w:tcPr>
            <w:tcW w:w="191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建设实现办公、办案、社会面防控体系信息化建设</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信息化建设覆盖率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≥80%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已实现信息化覆盖的业务项数/应实现信息化覆盖的总业务项数（3分）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实际信息化建设覆盖率达到目标值，得3分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效益指标（12分）</w:t>
            </w:r>
          </w:p>
        </w:tc>
        <w:tc>
          <w:tcPr>
            <w:tcW w:w="86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经济效益</w:t>
            </w:r>
          </w:p>
        </w:tc>
        <w:tc>
          <w:tcPr>
            <w:tcW w:w="3147"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群众满意度</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≥90%</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通过电话、短信回访等渠道测评人民群众满意程度（3分）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实际群众满意度达到目标值，得3分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86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社会效益</w:t>
            </w:r>
          </w:p>
        </w:tc>
        <w:tc>
          <w:tcPr>
            <w:tcW w:w="3147"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社会贡献率</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≥95%</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在打击违法犯罪、防范化解风险、维护</w:t>
            </w:r>
            <w:r>
              <w:rPr>
                <w:rFonts w:hint="eastAsia" w:ascii="方正仿宋_GBK" w:hAnsi="方正仿宋_GBK" w:eastAsia="方正仿宋_GBK" w:cs="方正仿宋_GBK"/>
                <w:b w:val="0"/>
                <w:bCs/>
                <w:i w:val="0"/>
                <w:snapToGrid/>
                <w:color w:val="000000"/>
                <w:sz w:val="18"/>
                <w:szCs w:val="18"/>
                <w:u w:val="none"/>
                <w:lang w:eastAsia="zh-CN"/>
              </w:rPr>
              <w:t>公共安全</w:t>
            </w:r>
            <w:r>
              <w:rPr>
                <w:rFonts w:hint="default" w:ascii="方正仿宋_GBK" w:hAnsi="方正仿宋_GBK" w:eastAsia="方正仿宋_GBK" w:cs="方正仿宋_GBK"/>
                <w:b w:val="0"/>
                <w:bCs/>
                <w:i w:val="0"/>
                <w:snapToGrid/>
                <w:color w:val="000000"/>
                <w:sz w:val="18"/>
                <w:szCs w:val="18"/>
                <w:u w:val="none"/>
                <w:lang w:eastAsia="zh-CN"/>
              </w:rPr>
              <w:t>、推进法治化建设等领域综合考量公安机关对社会稳定的贡献程度（3分）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持续打击违法犯罪、防范化解风险、维护</w:t>
            </w:r>
            <w:r>
              <w:rPr>
                <w:rFonts w:hint="eastAsia" w:ascii="方正仿宋_GBK" w:hAnsi="方正仿宋_GBK" w:eastAsia="方正仿宋_GBK" w:cs="方正仿宋_GBK"/>
                <w:b w:val="0"/>
                <w:bCs/>
                <w:i w:val="0"/>
                <w:snapToGrid/>
                <w:color w:val="000000"/>
                <w:sz w:val="18"/>
                <w:szCs w:val="18"/>
                <w:u w:val="none"/>
                <w:lang w:eastAsia="zh-CN"/>
              </w:rPr>
              <w:t>公共安全</w:t>
            </w:r>
            <w:r>
              <w:rPr>
                <w:rFonts w:hint="default" w:ascii="方正仿宋_GBK" w:hAnsi="方正仿宋_GBK" w:eastAsia="方正仿宋_GBK" w:cs="方正仿宋_GBK"/>
                <w:b w:val="0"/>
                <w:bCs/>
                <w:i w:val="0"/>
                <w:snapToGrid/>
                <w:color w:val="000000"/>
                <w:sz w:val="18"/>
                <w:szCs w:val="18"/>
                <w:u w:val="none"/>
                <w:lang w:eastAsia="zh-CN"/>
              </w:rPr>
              <w:t>，社会大局持续稳定，得3分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生态效益</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人民群众安全感</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安全</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人民群众安全感是否得到提升（3分）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人民群众安全感得到提升，得3分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bidi w:val="0"/>
              <w:snapToGrid w:val="0"/>
              <w:spacing w:before="0" w:beforeLines="0" w:line="240" w:lineRule="auto"/>
              <w:ind w:left="0" w:leftChars="0" w:right="0" w:rightChars="0" w:firstLine="0" w:firstLineChars="0"/>
              <w:jc w:val="center"/>
              <w:rPr>
                <w:rFonts w:hint="default" w:ascii="方正仿宋_GBK" w:hAnsi="宋体" w:eastAsia="方正仿宋_GBK"/>
                <w:sz w:val="18"/>
              </w:rPr>
            </w:pPr>
          </w:p>
        </w:tc>
        <w:tc>
          <w:tcPr>
            <w:tcW w:w="2782"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可持续影响</w:t>
            </w:r>
          </w:p>
        </w:tc>
        <w:tc>
          <w:tcPr>
            <w:tcW w:w="123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部门创新推进度</w:t>
            </w:r>
          </w:p>
        </w:tc>
        <w:tc>
          <w:tcPr>
            <w:tcW w:w="783"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合理</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技术装备升级、警务模式改革、执法监督管理等方面是否有序推进（3分）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技术装备升级、警务模式改革、执法监督管理等方面有序推进，得3分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016"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满意度指标（6分）</w:t>
            </w:r>
          </w:p>
        </w:tc>
        <w:tc>
          <w:tcPr>
            <w:tcW w:w="2782" w:type="dxa"/>
            <w:gridSpan w:val="2"/>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服务对象满意度</w:t>
            </w:r>
          </w:p>
        </w:tc>
        <w:tc>
          <w:tcPr>
            <w:tcW w:w="1231"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公安队伍满意度</w:t>
            </w:r>
          </w:p>
        </w:tc>
        <w:tc>
          <w:tcPr>
            <w:tcW w:w="783" w:type="dxa"/>
            <w:tcBorders>
              <w:top w:val="single" w:color="000000" w:sz="4" w:space="0"/>
              <w:left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满意</w:t>
            </w:r>
          </w:p>
        </w:tc>
        <w:tc>
          <w:tcPr>
            <w:tcW w:w="39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在纪律作风、廉洁自律、整体形象等方面是否让群众满意（6分）</w:t>
            </w:r>
          </w:p>
        </w:tc>
        <w:tc>
          <w:tcPr>
            <w:tcW w:w="29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left"/>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群众对公安机关纪律作风、廉洁自律、整体形象等方面满意，得6分</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6</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val="0"/>
                <w:i w:val="0"/>
                <w:snapToGrid/>
                <w:color w:val="000000"/>
                <w:sz w:val="18"/>
                <w:u w:val="none"/>
                <w:lang w:eastAsia="zh-CN"/>
              </w:rPr>
            </w:pPr>
            <w:r>
              <w:rPr>
                <w:rFonts w:hint="default" w:ascii="方正仿宋_GBK" w:hAnsi="方正仿宋_GBK" w:eastAsia="方正仿宋_GBK" w:cs="方正仿宋_GBK"/>
                <w:b w:val="0"/>
                <w:bCs/>
                <w:i w:val="0"/>
                <w:snapToGrid/>
                <w:color w:val="000000"/>
                <w:sz w:val="18"/>
                <w:szCs w:val="18"/>
                <w:u w:val="none"/>
                <w:lang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0" w:hRule="atLeast"/>
          <w:jc w:val="center"/>
        </w:trPr>
        <w:tc>
          <w:tcPr>
            <w:tcW w:w="12744"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合计</w:t>
            </w:r>
          </w:p>
        </w:tc>
        <w:tc>
          <w:tcPr>
            <w:tcW w:w="53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100</w:t>
            </w:r>
          </w:p>
        </w:tc>
        <w:tc>
          <w:tcPr>
            <w:tcW w:w="58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pageBreakBefore w:val="0"/>
              <w:kinsoku/>
              <w:wordWrap/>
              <w:overflowPunct/>
              <w:topLinePunct w:val="0"/>
              <w:autoSpaceDE/>
              <w:autoSpaceDN w:val="0"/>
              <w:bidi w:val="0"/>
              <w:snapToGrid w:val="0"/>
              <w:spacing w:before="0" w:beforeLines="0" w:line="240" w:lineRule="auto"/>
              <w:ind w:left="0" w:leftChars="0" w:right="0" w:rightChars="0" w:firstLine="0" w:firstLineChars="0"/>
              <w:jc w:val="center"/>
              <w:textAlignment w:val="center"/>
              <w:rPr>
                <w:rFonts w:hint="default" w:ascii="方正仿宋_GBK" w:hAnsi="宋体" w:eastAsia="方正仿宋_GBK"/>
                <w:b/>
                <w:i w:val="0"/>
                <w:snapToGrid/>
                <w:color w:val="000000"/>
                <w:sz w:val="18"/>
                <w:u w:val="none"/>
                <w:lang w:eastAsia="zh-CN"/>
              </w:rPr>
            </w:pPr>
            <w:r>
              <w:rPr>
                <w:rFonts w:hint="default" w:ascii="方正仿宋_GBK" w:hAnsi="方正仿宋_GBK" w:eastAsia="方正仿宋_GBK" w:cs="方正仿宋_GBK"/>
                <w:b/>
                <w:bCs/>
                <w:i w:val="0"/>
                <w:snapToGrid/>
                <w:color w:val="000000"/>
                <w:sz w:val="18"/>
                <w:szCs w:val="18"/>
                <w:u w:val="none"/>
                <w:lang w:eastAsia="zh-CN"/>
              </w:rPr>
              <w:t>9</w:t>
            </w:r>
            <w:r>
              <w:rPr>
                <w:rFonts w:hint="eastAsia" w:ascii="方正仿宋_GBK" w:hAnsi="方正仿宋_GBK" w:eastAsia="方正仿宋_GBK" w:cs="方正仿宋_GBK"/>
                <w:b/>
                <w:bCs/>
                <w:i w:val="0"/>
                <w:snapToGrid/>
                <w:color w:val="000000"/>
                <w:sz w:val="18"/>
                <w:szCs w:val="18"/>
                <w:u w:val="none"/>
                <w:lang w:val="en-US" w:eastAsia="zh-CN"/>
              </w:rPr>
              <w:t>7</w:t>
            </w:r>
          </w:p>
        </w:tc>
      </w:tr>
    </w:tbl>
    <w:p>
      <w:pPr>
        <w:pageBreakBefore w:val="0"/>
        <w:kinsoku/>
        <w:wordWrap/>
        <w:overflowPunct/>
        <w:topLinePunct w:val="0"/>
        <w:autoSpaceDE/>
        <w:bidi w:val="0"/>
        <w:snapToGrid w:val="0"/>
        <w:spacing w:before="0" w:beforeLines="0" w:line="560" w:lineRule="exact"/>
        <w:ind w:firstLine="1600" w:firstLineChars="500"/>
      </w:pPr>
    </w:p>
    <w:p>
      <w:pPr>
        <w:pStyle w:val="16"/>
        <w:pageBreakBefore w:val="0"/>
        <w:kinsoku/>
        <w:wordWrap/>
        <w:overflowPunct/>
        <w:topLinePunct w:val="0"/>
        <w:autoSpaceDE/>
        <w:bidi w:val="0"/>
        <w:snapToGrid w:val="0"/>
        <w:spacing w:line="560" w:lineRule="exact"/>
      </w:pPr>
    </w:p>
    <w:bookmarkEnd w:id="0"/>
    <w:sectPr>
      <w:pgSz w:w="15840" w:h="12240" w:orient="landscape"/>
      <w:pgMar w:top="1134" w:right="1134" w:bottom="1134" w:left="1134" w:header="851" w:footer="1417" w:gutter="0"/>
      <w:pgBorders>
        <w:top w:val="none" w:color="auto" w:sz="0" w:space="0"/>
        <w:left w:val="none" w:color="auto" w:sz="0" w:space="0"/>
        <w:bottom w:val="none" w:color="auto" w:sz="0" w:space="0"/>
        <w:right w:val="none" w:color="auto" w:sz="0" w:space="0"/>
      </w:pgBorders>
      <w:lnNumType w:countBy="0" w:distance="360"/>
      <w:pgNumType w:fmt="decimal" w:start="1"/>
      <w:cols w:space="0" w:num="1"/>
      <w:rtlGutter w:val="0"/>
      <w:docGrid w:type="linesAndChars" w:linePitch="534"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embedRegular r:id="rId1" w:fontKey="{F4A39B8C-CECC-4070-9FE4-74BDBA247785}"/>
  </w:font>
  <w:font w:name="Arial">
    <w:panose1 w:val="020B0604020202020204"/>
    <w:charset w:val="01"/>
    <w:family w:val="decorative"/>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方正仿宋_GBK">
    <w:panose1 w:val="03000509000000000000"/>
    <w:charset w:val="86"/>
    <w:family w:val="auto"/>
    <w:pitch w:val="default"/>
    <w:sig w:usb0="00000001" w:usb1="080E0000" w:usb2="00000000" w:usb3="00000000" w:csb0="00040000" w:csb1="00000000"/>
    <w:embedRegular r:id="rId2" w:fontKey="{4A1E82C3-3181-4FCE-A635-037A39BC9786}"/>
  </w:font>
  <w:font w:name="方正黑体_GBK">
    <w:panose1 w:val="03000509000000000000"/>
    <w:charset w:val="86"/>
    <w:family w:val="auto"/>
    <w:pitch w:val="default"/>
    <w:sig w:usb0="00000001" w:usb1="080E0000" w:usb2="00000000" w:usb3="00000000" w:csb0="00040000" w:csb1="00000000"/>
    <w:embedRegular r:id="rId3" w:fontKey="{3B5DC2C5-6DE4-4E2E-A533-9C9C8537128A}"/>
  </w:font>
  <w:font w:name="方正楷体_GBK">
    <w:panose1 w:val="03000509000000000000"/>
    <w:charset w:val="86"/>
    <w:family w:val="auto"/>
    <w:pitch w:val="default"/>
    <w:sig w:usb0="00000001" w:usb1="080E0000" w:usb2="00000000" w:usb3="00000000" w:csb0="00040000" w:csb1="00000000"/>
    <w:embedRegular r:id="rId4" w:fontKey="{9272D26B-A204-4195-A756-BE17389123B3}"/>
  </w:font>
  <w:font w:name="Saturday Sans Regular">
    <w:altName w:val="宋体"/>
    <w:panose1 w:val="02010600010101010101"/>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5" w:fontKey="{C91190B7-B191-461D-9C45-BDD6963CB63C}"/>
  </w:font>
  <w:font w:name="方正仿宋_GB2312">
    <w:panose1 w:val="02000000000000000000"/>
    <w:charset w:val="86"/>
    <w:family w:val="auto"/>
    <w:pitch w:val="default"/>
    <w:sig w:usb0="00000000" w:usb1="00000000" w:usb2="00000000" w:usb3="00000000" w:csb0="00000000" w:csb1="00000000"/>
    <w:embedRegular r:id="rId6" w:fontKey="{0124A497-D7B6-42F2-8EFB-42C7A5DAF2DC}"/>
  </w:font>
  <w:font w:name="方正楷体_GB2312">
    <w:altName w:val="宋体"/>
    <w:panose1 w:val="02000000000000000000"/>
    <w:charset w:val="86"/>
    <w:family w:val="auto"/>
    <w:pitch w:val="default"/>
    <w:sig w:usb0="00000000" w:usb1="00000000" w:usb2="00000012" w:usb3="00000000" w:csb0="00040001" w:csb1="00000000"/>
    <w:embedRegular r:id="rId7" w:fontKey="{76636964-14A1-458C-99E5-F236CBDD817F}"/>
  </w:font>
  <w:font w:name="方正公文仿宋">
    <w:panose1 w:val="02000500000000000000"/>
    <w:charset w:val="86"/>
    <w:family w:val="auto"/>
    <w:pitch w:val="default"/>
    <w:sig w:usb0="00000000" w:usb1="00000000" w:usb2="00000000" w:usb3="00000000" w:csb0="00000000" w:csb1="00000000"/>
    <w:embedRegular r:id="rId8" w:fontKey="{6D8CD2F7-C92A-46A8-B2B4-398A812734BE}"/>
  </w:font>
  <w:font w:name="仿宋">
    <w:panose1 w:val="02010609060101010101"/>
    <w:charset w:val="86"/>
    <w:family w:val="auto"/>
    <w:pitch w:val="default"/>
    <w:sig w:usb0="800002BF" w:usb1="38CF7CFA" w:usb2="00000016" w:usb3="00000000" w:csb0="00040001" w:csb1="00000000"/>
    <w:embedRegular r:id="rId9" w:fontKey="{21CF1A82-16FC-4412-A6DC-5F7C8FFF9D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GpUrO1gAAAAYBAAAP&#10;AAAAAAAAAAEAIAAAACIAAABkcnMvZG93bnJldi54bWxQSwECFAAUAAAACACHTuJAkgJW4xoCAAAd&#10;BAAADgAAAAAAAAABACAAAAAlAQAAZHJzL2Uyb0RvYy54bWxQSwUGAAAAAAYABgBZAQAAsQUAAAAA&#10;">
              <v:fill on="f" focussize="0,0"/>
              <v:stroke on="f" weight="0.5pt"/>
              <v:imagedata o:title=""/>
              <o:lock v:ext="edit" aspectratio="f"/>
              <v:textbox inset="16pt,0mm,16pt,0mm" style="mso-fit-shape-to-text:t;">
                <w:txbxContent>
                  <w:p>
                    <w:pPr>
                      <w:pStyle w:val="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alSs7WAAAABgEAAA8A&#10;AAAAAAAAAQAgAAAAIgAAAGRycy9kb3ducmV2LnhtbFBLAQIUABQAAAAIAIdO4kDt8hNVGQIAAB0E&#10;AAAOAAAAAAAAAAEAIAAAACUBAABkcnMvZTJvRG9jLnhtbFBLBQYAAAAABgAGAFkBAACwBQAAAAA=&#10;">
              <v:fill on="f" focussize="0,0"/>
              <v:stroke on="f" weight="0.5pt"/>
              <v:imagedata o:title=""/>
              <o:lock v:ext="edit" aspectratio="f"/>
              <v:textbox inset="16pt,0mm,16pt,0mm" style="mso-fit-shape-to-text:t;">
                <w:txbxContent>
                  <w:p>
                    <w:pPr>
                      <w:pStyle w:val="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89002141">
    <w:nsid w:val="0B43F19D"/>
    <w:multiLevelType w:val="singleLevel"/>
    <w:tmpl w:val="0B43F19D"/>
    <w:lvl w:ilvl="0" w:tentative="1">
      <w:start w:val="1"/>
      <w:numFmt w:val="decimal"/>
      <w:suff w:val="space"/>
      <w:lvlText w:val="%1."/>
      <w:lvlJc w:val="left"/>
      <w:pPr>
        <w:ind w:left="0" w:firstLine="640"/>
      </w:pPr>
      <w:rPr>
        <w:rFonts w:hint="default"/>
      </w:rPr>
    </w:lvl>
  </w:abstractNum>
  <w:abstractNum w:abstractNumId="1524212219">
    <w:nsid w:val="5AD9A1FB"/>
    <w:multiLevelType w:val="singleLevel"/>
    <w:tmpl w:val="5AD9A1FB"/>
    <w:lvl w:ilvl="0" w:tentative="1">
      <w:start w:val="1"/>
      <w:numFmt w:val="decimal"/>
      <w:suff w:val="nothing"/>
      <w:lvlText w:val="（%1）"/>
      <w:lvlJc w:val="left"/>
      <w:pPr>
        <w:ind w:left="0" w:firstLine="640"/>
      </w:pPr>
      <w:rPr>
        <w:rFonts w:hint="default"/>
      </w:rPr>
    </w:lvl>
  </w:abstractNum>
  <w:abstractNum w:abstractNumId="2722787322">
    <w:nsid w:val="A24A6FFA"/>
    <w:multiLevelType w:val="singleLevel"/>
    <w:tmpl w:val="A24A6FFA"/>
    <w:lvl w:ilvl="0" w:tentative="1">
      <w:start w:val="1"/>
      <w:numFmt w:val="decimal"/>
      <w:suff w:val="space"/>
      <w:lvlText w:val="%1."/>
      <w:lvlJc w:val="left"/>
      <w:pPr>
        <w:ind w:left="0" w:firstLine="640"/>
      </w:pPr>
      <w:rPr>
        <w:rFonts w:hint="default"/>
      </w:rPr>
    </w:lvl>
  </w:abstractNum>
  <w:abstractNum w:abstractNumId="4085953609">
    <w:nsid w:val="F38AB449"/>
    <w:multiLevelType w:val="singleLevel"/>
    <w:tmpl w:val="F38AB449"/>
    <w:lvl w:ilvl="0" w:tentative="1">
      <w:start w:val="1"/>
      <w:numFmt w:val="decimal"/>
      <w:suff w:val="nothing"/>
      <w:lvlText w:val="（%1）"/>
      <w:lvlJc w:val="left"/>
      <w:pPr>
        <w:ind w:left="0" w:firstLine="0"/>
      </w:pPr>
      <w:rPr>
        <w:rFonts w:hint="default"/>
      </w:rPr>
    </w:lvl>
  </w:abstractNum>
  <w:abstractNum w:abstractNumId="4004692472">
    <w:nsid w:val="EEB2C1F8"/>
    <w:multiLevelType w:val="singleLevel"/>
    <w:tmpl w:val="EEB2C1F8"/>
    <w:lvl w:ilvl="0" w:tentative="1">
      <w:start w:val="1"/>
      <w:numFmt w:val="decimal"/>
      <w:suff w:val="space"/>
      <w:lvlText w:val="%1."/>
      <w:lvlJc w:val="left"/>
      <w:pPr>
        <w:ind w:left="0" w:firstLine="640"/>
      </w:pPr>
      <w:rPr>
        <w:rFonts w:hint="default"/>
      </w:rPr>
    </w:lvl>
  </w:abstractNum>
  <w:abstractNum w:abstractNumId="2831932255">
    <w:nsid w:val="A8CBDB5F"/>
    <w:multiLevelType w:val="singleLevel"/>
    <w:tmpl w:val="A8CBDB5F"/>
    <w:lvl w:ilvl="0" w:tentative="1">
      <w:start w:val="1"/>
      <w:numFmt w:val="chineseCounting"/>
      <w:suff w:val="nothing"/>
      <w:lvlText w:val="（%1）"/>
      <w:lvlJc w:val="left"/>
      <w:pPr>
        <w:ind w:left="0" w:firstLine="640"/>
      </w:pPr>
      <w:rPr>
        <w:rFonts w:hint="eastAsia"/>
      </w:rPr>
    </w:lvl>
  </w:abstractNum>
  <w:abstractNum w:abstractNumId="1759397850">
    <w:nsid w:val="68DE47DA"/>
    <w:multiLevelType w:val="singleLevel"/>
    <w:tmpl w:val="68DE47DA"/>
    <w:lvl w:ilvl="0" w:tentative="1">
      <w:start w:val="1"/>
      <w:numFmt w:val="chineseCounting"/>
      <w:suff w:val="nothing"/>
      <w:lvlText w:val="（%1）"/>
      <w:lvlJc w:val="left"/>
      <w:pPr>
        <w:ind w:left="0" w:firstLine="640"/>
      </w:pPr>
      <w:rPr>
        <w:rFonts w:hint="eastAsia"/>
      </w:rPr>
    </w:lvl>
  </w:abstractNum>
  <w:abstractNum w:abstractNumId="1053843353">
    <w:nsid w:val="3ED05F99"/>
    <w:multiLevelType w:val="singleLevel"/>
    <w:tmpl w:val="3ED05F99"/>
    <w:lvl w:ilvl="0" w:tentative="1">
      <w:start w:val="1"/>
      <w:numFmt w:val="chineseCounting"/>
      <w:suff w:val="nothing"/>
      <w:lvlText w:val="（%1）"/>
      <w:lvlJc w:val="left"/>
      <w:pPr>
        <w:ind w:left="0" w:firstLine="640"/>
      </w:pPr>
      <w:rPr>
        <w:rFonts w:hint="eastAsia"/>
      </w:rPr>
    </w:lvl>
  </w:abstractNum>
  <w:abstractNum w:abstractNumId="3686855850">
    <w:nsid w:val="DBC0F4AA"/>
    <w:multiLevelType w:val="singleLevel"/>
    <w:tmpl w:val="DBC0F4AA"/>
    <w:lvl w:ilvl="0" w:tentative="1">
      <w:start w:val="1"/>
      <w:numFmt w:val="chineseCounting"/>
      <w:suff w:val="nothing"/>
      <w:lvlText w:val="%1、"/>
      <w:lvlJc w:val="left"/>
      <w:pPr>
        <w:ind w:left="0" w:firstLine="640"/>
      </w:pPr>
      <w:rPr>
        <w:rFonts w:hint="eastAsia"/>
      </w:rPr>
    </w:lvl>
  </w:abstractNum>
  <w:abstractNum w:abstractNumId="683309086">
    <w:nsid w:val="28BA781E"/>
    <w:multiLevelType w:val="singleLevel"/>
    <w:tmpl w:val="28BA781E"/>
    <w:lvl w:ilvl="0" w:tentative="1">
      <w:start w:val="1"/>
      <w:numFmt w:val="bullet"/>
      <w:pStyle w:val="14"/>
      <w:lvlText w:val=""/>
      <w:lvlJc w:val="left"/>
      <w:pPr>
        <w:tabs>
          <w:tab w:val="left" w:pos="360"/>
        </w:tabs>
        <w:ind w:left="360" w:hanging="360"/>
      </w:pPr>
      <w:rPr>
        <w:rFonts w:hint="default" w:ascii="Wingdings" w:hAnsi="Wingdings"/>
      </w:rPr>
    </w:lvl>
  </w:abstractNum>
  <w:abstractNum w:abstractNumId="3326093736">
    <w:nsid w:val="C64029A8"/>
    <w:multiLevelType w:val="singleLevel"/>
    <w:tmpl w:val="C64029A8"/>
    <w:lvl w:ilvl="0" w:tentative="1">
      <w:start w:val="1"/>
      <w:numFmt w:val="chineseCounting"/>
      <w:suff w:val="nothing"/>
      <w:lvlText w:val="（%1）"/>
      <w:lvlJc w:val="left"/>
      <w:pPr>
        <w:ind w:left="0" w:firstLine="640"/>
      </w:pPr>
      <w:rPr>
        <w:rFonts w:hint="eastAsia"/>
      </w:rPr>
    </w:lvl>
  </w:abstractNum>
  <w:num w:numId="1">
    <w:abstractNumId w:val="683309086"/>
  </w:num>
  <w:num w:numId="2">
    <w:abstractNumId w:val="3686855850"/>
  </w:num>
  <w:num w:numId="3">
    <w:abstractNumId w:val="3326093736"/>
  </w:num>
  <w:num w:numId="4">
    <w:abstractNumId w:val="189002141"/>
  </w:num>
  <w:num w:numId="5">
    <w:abstractNumId w:val="1524212219"/>
  </w:num>
  <w:num w:numId="6">
    <w:abstractNumId w:val="2722787322"/>
  </w:num>
  <w:num w:numId="7">
    <w:abstractNumId w:val="4085953609"/>
  </w:num>
  <w:num w:numId="8">
    <w:abstractNumId w:val="4004692472"/>
  </w:num>
  <w:num w:numId="9">
    <w:abstractNumId w:val="2831932255"/>
  </w:num>
  <w:num w:numId="10">
    <w:abstractNumId w:val="1759397850"/>
  </w:num>
  <w:num w:numId="11">
    <w:abstractNumId w:val="1053843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evenAndOddHeaders w:val="1"/>
  <w:drawingGridHorizontalSpacing w:val="164"/>
  <w:drawingGridVerticalSpacing w:val="26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yYzg0YTk2ZTQ2YTRkNjY1NzViZjc5YjM3NjBhMDgifQ=="/>
  </w:docVars>
  <w:rsids>
    <w:rsidRoot w:val="7FDF868C"/>
    <w:rsid w:val="048875E3"/>
    <w:rsid w:val="06B52049"/>
    <w:rsid w:val="0B5F0D84"/>
    <w:rsid w:val="0C4A3424"/>
    <w:rsid w:val="0D82161F"/>
    <w:rsid w:val="1053332C"/>
    <w:rsid w:val="10615447"/>
    <w:rsid w:val="14E013D0"/>
    <w:rsid w:val="16142219"/>
    <w:rsid w:val="19A07E7C"/>
    <w:rsid w:val="19DA14CE"/>
    <w:rsid w:val="1BA01B1B"/>
    <w:rsid w:val="1F411E8D"/>
    <w:rsid w:val="2A970D6C"/>
    <w:rsid w:val="2B2362C5"/>
    <w:rsid w:val="310F207D"/>
    <w:rsid w:val="32244DFC"/>
    <w:rsid w:val="39A64349"/>
    <w:rsid w:val="3AEB686B"/>
    <w:rsid w:val="3E031883"/>
    <w:rsid w:val="3EAF4AC6"/>
    <w:rsid w:val="42204EB5"/>
    <w:rsid w:val="50E172E9"/>
    <w:rsid w:val="59D14EF9"/>
    <w:rsid w:val="5E304E22"/>
    <w:rsid w:val="69747710"/>
    <w:rsid w:val="699B0F22"/>
    <w:rsid w:val="70311EB7"/>
    <w:rsid w:val="70BF3967"/>
    <w:rsid w:val="7129409A"/>
    <w:rsid w:val="7FDF868C"/>
    <w:rsid w:val="FFFF35D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before="0" w:beforeLines="0" w:line="560" w:lineRule="exact"/>
      <w:jc w:val="both"/>
    </w:pPr>
    <w:rPr>
      <w:rFonts w:eastAsia="方正仿宋_GBK" w:asciiTheme="minorAscii" w:hAnsiTheme="minorAscii" w:cstheme="minorBidi"/>
      <w:kern w:val="2"/>
      <w:sz w:val="32"/>
      <w:szCs w:val="32"/>
      <w:lang w:val="en-US" w:eastAsia="zh-CN" w:bidi="ar-SA"/>
    </w:rPr>
  </w:style>
  <w:style w:type="paragraph" w:styleId="3">
    <w:name w:val="heading 1"/>
    <w:next w:val="1"/>
    <w:qFormat/>
    <w:uiPriority w:val="0"/>
    <w:pPr>
      <w:keepNext w:val="0"/>
      <w:keepLines w:val="0"/>
      <w:pageBreakBefore w:val="0"/>
      <w:widowControl/>
      <w:kinsoku/>
      <w:wordWrap/>
      <w:overflowPunct/>
      <w:topLinePunct w:val="0"/>
      <w:autoSpaceDE/>
      <w:autoSpaceDN/>
      <w:bidi w:val="0"/>
      <w:adjustRightInd/>
      <w:spacing w:line="560" w:lineRule="exact"/>
      <w:ind w:firstLine="640" w:firstLineChars="200"/>
      <w:jc w:val="both"/>
      <w:outlineLvl w:val="0"/>
    </w:pPr>
    <w:rPr>
      <w:rFonts w:ascii="方正黑体_GBK" w:hAnsi="方正黑体_GBK" w:eastAsia="方正黑体_GBK" w:cs="方正黑体_GBK"/>
      <w:color w:val="000000"/>
      <w:kern w:val="0"/>
      <w:sz w:val="32"/>
      <w:szCs w:val="32"/>
      <w:lang w:bidi="ar-SA"/>
    </w:rPr>
  </w:style>
  <w:style w:type="paragraph" w:styleId="4">
    <w:name w:val="heading 2"/>
    <w:next w:val="1"/>
    <w:unhideWhenUsed/>
    <w:qFormat/>
    <w:uiPriority w:val="0"/>
    <w:pPr>
      <w:keepNext w:val="0"/>
      <w:keepLines w:val="0"/>
      <w:pageBreakBefore w:val="0"/>
      <w:widowControl/>
      <w:kinsoku/>
      <w:wordWrap/>
      <w:overflowPunct/>
      <w:topLinePunct w:val="0"/>
      <w:autoSpaceDE/>
      <w:autoSpaceDN/>
      <w:bidi w:val="0"/>
      <w:adjustRightInd/>
      <w:spacing w:line="560" w:lineRule="exact"/>
      <w:ind w:firstLine="640" w:firstLineChars="200"/>
      <w:jc w:val="both"/>
      <w:outlineLvl w:val="1"/>
    </w:pPr>
    <w:rPr>
      <w:rFonts w:ascii="方正楷体_GBK" w:hAnsi="方正楷体_GBK" w:eastAsia="方正楷体_GBK" w:cs="方正楷体_GBK"/>
      <w:kern w:val="0"/>
      <w:sz w:val="32"/>
      <w:szCs w:val="32"/>
      <w:lang w:bidi="zh-CN"/>
    </w:rPr>
  </w:style>
  <w:style w:type="paragraph" w:styleId="5">
    <w:name w:val="heading 3"/>
    <w:next w:val="1"/>
    <w:unhideWhenUsed/>
    <w:qFormat/>
    <w:uiPriority w:val="0"/>
    <w:pPr>
      <w:keepNext w:val="0"/>
      <w:keepLines w:val="0"/>
      <w:pageBreakBefore w:val="0"/>
      <w:widowControl/>
      <w:kinsoku/>
      <w:wordWrap/>
      <w:overflowPunct/>
      <w:topLinePunct w:val="0"/>
      <w:autoSpaceDE/>
      <w:autoSpaceDN/>
      <w:bidi w:val="0"/>
      <w:adjustRightInd/>
      <w:spacing w:line="560" w:lineRule="exact"/>
      <w:ind w:left="0" w:leftChars="0" w:firstLine="640" w:firstLineChars="200"/>
      <w:jc w:val="both"/>
      <w:outlineLvl w:val="2"/>
    </w:pPr>
    <w:rPr>
      <w:rFonts w:ascii="方正仿宋_GBK" w:hAnsi="方正仿宋_GBK" w:eastAsia="方正仿宋_GBK" w:cs="方正仿宋_GBK"/>
      <w:b/>
      <w:bCs/>
      <w:color w:val="000000"/>
      <w:kern w:val="0"/>
      <w:sz w:val="32"/>
      <w:szCs w:val="32"/>
      <w:lang w:bidi="ar-SA"/>
    </w:rPr>
  </w:style>
  <w:style w:type="paragraph" w:styleId="6">
    <w:name w:val="heading 4"/>
    <w:next w:val="1"/>
    <w:unhideWhenUsed/>
    <w:qFormat/>
    <w:uiPriority w:val="0"/>
    <w:pPr>
      <w:keepNext/>
      <w:keepLines/>
      <w:widowControl w:val="0"/>
      <w:adjustRightInd w:val="0"/>
      <w:spacing w:before="0" w:beforeLines="0" w:after="0" w:afterLines="0" w:line="560" w:lineRule="exact"/>
      <w:jc w:val="both"/>
      <w:outlineLvl w:val="3"/>
    </w:pPr>
    <w:rPr>
      <w:rFonts w:ascii="方正仿宋_GBK" w:hAnsi="方正仿宋_GBK" w:eastAsia="方正仿宋_GBK" w:cs="方正仿宋_GBK"/>
      <w:b/>
      <w:bCs/>
      <w:kern w:val="2"/>
      <w:sz w:val="32"/>
      <w:szCs w:val="32"/>
      <w:lang w:bidi="ar-SA"/>
    </w:rPr>
  </w:style>
  <w:style w:type="paragraph" w:styleId="7">
    <w:name w:val="heading 5"/>
    <w:next w:val="1"/>
    <w:unhideWhenUsed/>
    <w:qFormat/>
    <w:uiPriority w:val="0"/>
    <w:pPr>
      <w:keepNext/>
      <w:keepLines/>
      <w:widowControl w:val="0"/>
      <w:adjustRightInd w:val="0"/>
      <w:spacing w:before="100" w:after="100" w:line="360" w:lineRule="auto"/>
      <w:jc w:val="both"/>
      <w:outlineLvl w:val="4"/>
    </w:pPr>
    <w:rPr>
      <w:rFonts w:ascii="Times New Roman" w:hAnsi="Times New Roman" w:eastAsia="宋体" w:cs="Times New Roman"/>
      <w:b/>
      <w:bCs/>
      <w:kern w:val="2"/>
      <w:sz w:val="28"/>
      <w:szCs w:val="28"/>
      <w:lang w:bidi="ar-SA"/>
    </w:rPr>
  </w:style>
  <w:style w:type="paragraph" w:styleId="8">
    <w:name w:val="heading 6"/>
    <w:next w:val="1"/>
    <w:unhideWhenUsed/>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bidi="ar-SA"/>
    </w:rPr>
  </w:style>
  <w:style w:type="paragraph" w:styleId="9">
    <w:name w:val="heading 7"/>
    <w:next w:val="1"/>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bidi="ar-SA"/>
    </w:rPr>
  </w:style>
  <w:style w:type="paragraph" w:styleId="10">
    <w:name w:val="heading 8"/>
    <w:next w:val="1"/>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bidi="ar-SA"/>
    </w:rPr>
  </w:style>
  <w:style w:type="paragraph" w:styleId="11">
    <w:name w:val="heading 9"/>
    <w:next w:val="1"/>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bidi="ar-SA"/>
    </w:rPr>
  </w:style>
  <w:style w:type="character" w:default="1" w:styleId="24">
    <w:name w:val="Default Paragraph Font"/>
    <w:semiHidden/>
    <w:qFormat/>
    <w:uiPriority w:val="0"/>
    <w:rPr>
      <w:rFonts w:ascii="Calibri" w:hAnsi="Calibri" w:eastAsia="Saturday Sans Regular"/>
      <w:sz w:val="40"/>
    </w:rPr>
  </w:style>
  <w:style w:type="table" w:default="1" w:styleId="27">
    <w:name w:val="Normal Table"/>
    <w:semiHidden/>
    <w:qFormat/>
    <w:uiPriority w:val="0"/>
    <w:tblPr>
      <w:tblLayout w:type="fixed"/>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rPr>
  </w:style>
  <w:style w:type="paragraph" w:styleId="12">
    <w:name w:val="Normal Indent"/>
    <w:basedOn w:val="1"/>
    <w:qFormat/>
    <w:uiPriority w:val="0"/>
    <w:pPr>
      <w:ind w:firstLine="200" w:firstLineChars="200"/>
    </w:pPr>
  </w:style>
  <w:style w:type="paragraph" w:styleId="13">
    <w:name w:val="caption"/>
    <w:basedOn w:val="1"/>
    <w:next w:val="1"/>
    <w:unhideWhenUsed/>
    <w:qFormat/>
    <w:uiPriority w:val="0"/>
    <w:rPr>
      <w:rFonts w:ascii="Arial" w:hAnsi="Arial" w:eastAsia="黑体"/>
      <w:sz w:val="20"/>
    </w:rPr>
  </w:style>
  <w:style w:type="paragraph" w:styleId="14">
    <w:name w:val="List Bullet"/>
    <w:basedOn w:val="1"/>
    <w:qFormat/>
    <w:uiPriority w:val="0"/>
    <w:pPr>
      <w:numPr>
        <w:ilvl w:val="0"/>
        <w:numId w:val="1"/>
      </w:numPr>
      <w:tabs>
        <w:tab w:val="left" w:pos="360"/>
      </w:tabs>
    </w:pPr>
    <w:rPr>
      <w:rFonts w:asciiTheme="minorAscii" w:hAnsiTheme="minorAscii"/>
      <w:color w:val="auto"/>
    </w:rPr>
  </w:style>
  <w:style w:type="paragraph" w:styleId="15">
    <w:name w:val="annotation text"/>
    <w:basedOn w:val="1"/>
    <w:qFormat/>
    <w:uiPriority w:val="0"/>
    <w:pPr>
      <w:jc w:val="left"/>
    </w:pPr>
  </w:style>
  <w:style w:type="paragraph" w:styleId="16">
    <w:name w:val="Body Text"/>
    <w:qFormat/>
    <w:uiPriority w:val="0"/>
    <w:pPr>
      <w:keepNext w:val="0"/>
      <w:keepLines w:val="0"/>
      <w:pageBreakBefore w:val="0"/>
      <w:widowControl/>
      <w:kinsoku/>
      <w:wordWrap/>
      <w:overflowPunct/>
      <w:topLinePunct w:val="0"/>
      <w:autoSpaceDE/>
      <w:autoSpaceDN/>
      <w:bidi w:val="0"/>
      <w:adjustRightInd/>
      <w:spacing w:line="560" w:lineRule="exact"/>
      <w:ind w:firstLine="640" w:firstLineChars="200"/>
      <w:jc w:val="left"/>
      <w:outlineLvl w:val="9"/>
    </w:pPr>
    <w:rPr>
      <w:rFonts w:ascii="方正仿宋_GBK" w:hAnsi="方正仿宋_GBK" w:eastAsia="方正仿宋_GBK" w:cs="方正仿宋_GBK"/>
      <w:sz w:val="32"/>
      <w:szCs w:val="32"/>
    </w:rPr>
  </w:style>
  <w:style w:type="paragraph" w:styleId="17">
    <w:name w:val="index 4"/>
    <w:basedOn w:val="1"/>
    <w:next w:val="1"/>
    <w:unhideWhenUsed/>
    <w:qFormat/>
    <w:uiPriority w:val="99"/>
    <w:pPr>
      <w:ind w:left="600" w:leftChars="600"/>
    </w:pPr>
  </w:style>
  <w:style w:type="paragraph" w:styleId="18">
    <w:name w:val="toc 3"/>
    <w:basedOn w:val="1"/>
    <w:next w:val="1"/>
    <w:qFormat/>
    <w:uiPriority w:val="0"/>
    <w:pPr>
      <w:ind w:left="840" w:leftChars="400"/>
    </w:p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toc 1"/>
    <w:basedOn w:val="1"/>
    <w:next w:val="1"/>
    <w:qFormat/>
    <w:uiPriority w:val="0"/>
  </w:style>
  <w:style w:type="paragraph" w:styleId="21">
    <w:name w:val="Subtitle"/>
    <w:qFormat/>
    <w:uiPriority w:val="0"/>
    <w:pPr>
      <w:widowControl w:val="0"/>
      <w:adjustRightInd w:val="0"/>
      <w:spacing w:before="100" w:after="100" w:line="240" w:lineRule="auto"/>
      <w:jc w:val="center"/>
      <w:outlineLvl w:val="9"/>
    </w:pPr>
    <w:rPr>
      <w:rFonts w:ascii="Times New Roman" w:hAnsi="Times New Roman" w:eastAsia="黑体" w:cs="Times New Roman"/>
      <w:b/>
      <w:kern w:val="28"/>
      <w:sz w:val="32"/>
      <w:szCs w:val="24"/>
      <w:lang w:bidi="ar-SA"/>
    </w:rPr>
  </w:style>
  <w:style w:type="paragraph" w:styleId="22">
    <w:name w:val="toc 2"/>
    <w:basedOn w:val="1"/>
    <w:next w:val="1"/>
    <w:qFormat/>
    <w:uiPriority w:val="0"/>
    <w:pPr>
      <w:ind w:left="420" w:leftChars="200"/>
    </w:pPr>
  </w:style>
  <w:style w:type="paragraph" w:styleId="23">
    <w:name w:val="Title"/>
    <w:qFormat/>
    <w:uiPriority w:val="0"/>
    <w:pPr>
      <w:widowControl w:val="0"/>
      <w:spacing w:line="0" w:lineRule="atLeast"/>
      <w:jc w:val="center"/>
      <w:outlineLvl w:val="9"/>
    </w:pPr>
    <w:rPr>
      <w:rFonts w:ascii="方正小标宋_GBK" w:hAnsi="方正小标宋_GBK" w:eastAsia="方正小标宋_GBK" w:cs="方正小标宋_GBK"/>
      <w:kern w:val="2"/>
      <w:sz w:val="44"/>
      <w:szCs w:val="44"/>
      <w:lang w:bidi="ar-SA"/>
    </w:rPr>
  </w:style>
  <w:style w:type="character" w:styleId="25">
    <w:name w:val="FollowedHyperlink"/>
    <w:basedOn w:val="24"/>
    <w:qFormat/>
    <w:uiPriority w:val="0"/>
    <w:rPr>
      <w:color w:val="356DF6"/>
      <w:u w:val="single"/>
    </w:rPr>
  </w:style>
  <w:style w:type="character" w:styleId="26">
    <w:name w:val="Hyperlink"/>
    <w:basedOn w:val="24"/>
    <w:qFormat/>
    <w:uiPriority w:val="0"/>
    <w:rPr>
      <w:color w:val="356DF6"/>
      <w:u w:val="single"/>
    </w:rPr>
  </w:style>
  <w:style w:type="paragraph" w:customStyle="1" w:styleId="28">
    <w:name w:val="表格标题"/>
    <w:next w:val="1"/>
    <w:qFormat/>
    <w:uiPriority w:val="0"/>
    <w:pPr>
      <w:overflowPunct w:val="0"/>
      <w:topLinePunct/>
      <w:spacing w:line="560" w:lineRule="exact"/>
      <w:jc w:val="center"/>
      <w:outlineLvl w:val="9"/>
    </w:pPr>
    <w:rPr>
      <w:rFonts w:ascii="Times New Roman" w:hAnsi="Times New Roman" w:eastAsia="方正仿宋_GB2312" w:cs="方正仿宋_GB2312"/>
      <w:spacing w:val="-6"/>
      <w:kern w:val="0"/>
      <w:sz w:val="32"/>
      <w:szCs w:val="32"/>
    </w:rPr>
  </w:style>
  <w:style w:type="character" w:customStyle="1" w:styleId="29">
    <w:name w:val="标题 2 Char"/>
    <w:qFormat/>
    <w:uiPriority w:val="0"/>
    <w:rPr>
      <w:rFonts w:ascii="Times New Roman" w:hAnsi="Times New Roman" w:eastAsia="方正楷体_GB2312" w:cs="方正楷体_GB2312"/>
      <w:sz w:val="32"/>
      <w:szCs w:val="32"/>
    </w:rPr>
  </w:style>
  <w:style w:type="character" w:customStyle="1" w:styleId="30">
    <w:name w:val="正文文本 Char"/>
    <w:qFormat/>
    <w:uiPriority w:val="0"/>
    <w:rPr>
      <w:rFonts w:ascii="Times New Roman" w:hAnsi="Times New Roman" w:eastAsia="方正仿宋_GB2312" w:cs="方正仿宋_GB2312"/>
      <w:spacing w:val="-6"/>
      <w:sz w:val="32"/>
      <w:szCs w:val="32"/>
    </w:rPr>
  </w:style>
  <w:style w:type="paragraph" w:customStyle="1" w:styleId="31">
    <w:name w:val="_Style 2"/>
    <w:basedOn w:val="1"/>
    <w:qFormat/>
    <w:uiPriority w:val="0"/>
    <w:pPr>
      <w:spacing w:line="549" w:lineRule="atLeast"/>
      <w:ind w:firstLine="623"/>
      <w:textAlignment w:val="baseline"/>
    </w:pPr>
    <w:rPr>
      <w:rFonts w:eastAsia="方正仿宋_GB2312"/>
      <w:color w:val="000000"/>
      <w:sz w:val="3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7d2cad66-d3b1-4bb4-ae6a-54ebfb9d5fb3</errorID>
      <errorWord>:</errorWord>
      <group>L1_Format</group>
      <groupName>格式问题</groupName>
      <ability>L2_HalfPunc_CN</ability>
      <abilityName/>
      <candidateList>
        <item>：</item>
      </candidateList>
      <explain>文本全半角错误。</explain>
      <paraID>7A8E5A8A</paraID>
      <start>4</start>
      <end>5</end>
      <status>modified</status>
      <modifiedWord>：</modifiedWord>
      <trackRevisions>false</trackRevisions>
    </reviewItem>
    <reviewItem>
      <errorID>e276ffcd-11cf-4880-94a1-3a6be789dd47</errorID>
      <errorWord>:</errorWord>
      <group>L1_Format</group>
      <groupName>格式问题</groupName>
      <ability>L2_HalfPunc_CN</ability>
      <abilityName/>
      <candidateList>
        <item>：</item>
      </candidateList>
      <explain>文本全半角错误。</explain>
      <paraID>1D33DACC</paraID>
      <start>5</start>
      <end>6</end>
      <status>modified</status>
      <modifiedWord>：</modifiedWord>
      <trackRevisions>false</trackRevisions>
    </reviewItem>
    <reviewItem>
      <errorID>22ab8aca-8e46-432f-a33b-c43253f99181</errorID>
      <errorWord>:</errorWord>
      <group>L1_Format</group>
      <groupName>格式问题</groupName>
      <ability>L2_HalfPunc_CN</ability>
      <abilityName/>
      <candidateList>
        <item>：</item>
      </candidateList>
      <explain>文本全半角错误。</explain>
      <paraID>21D1C4DB</paraID>
      <start>7</start>
      <end>8</end>
      <status>modified</status>
      <modifiedWord>：</modifiedWord>
      <trackRevisions>false</trackRevisions>
    </reviewItem>
    <reviewItem>
      <errorID>f4ebf594-4249-4efb-b306-d4442a949ef8</errorID>
      <errorWord>:</errorWord>
      <group>L1_Format</group>
      <groupName>格式问题</groupName>
      <ability>L2_HalfPunc_CN</ability>
      <abilityName/>
      <candidateList>
        <item>：</item>
      </candidateList>
      <explain>文本全半角错误。</explain>
      <paraID>501B9D7F</paraID>
      <start>3</start>
      <end>4</end>
      <status>modified</status>
      <modifiedWord>：</modifiedWord>
      <trackRevisions>false</trackRevisions>
    </reviewItem>
    <reviewItem>
      <errorID>55e111ed-6635-4fae-a945-728628ac68f7</errorID>
      <errorWord>:</errorWord>
      <group>L1_Format</group>
      <groupName>格式问题</groupName>
      <ability>L2_HalfPunc_CN</ability>
      <abilityName/>
      <candidateList>
        <item>：</item>
      </candidateList>
      <explain>文本全半角错误。</explain>
      <paraID>6DB346AF</paraID>
      <start>4</start>
      <end>5</end>
      <status>modified</status>
      <modifiedWord>：</modifiedWord>
      <trackRevisions>false</trackRevisions>
    </reviewItem>
    <reviewItem>
      <errorID>73a12615-1349-4647-890e-c1fb3c318a27</errorID>
      <errorWord>:</errorWord>
      <group>L1_Format</group>
      <groupName>格式问题</groupName>
      <ability>L2_HalfPunc_CN</ability>
      <abilityName/>
      <candidateList>
        <item>：</item>
      </candidateList>
      <explain>文本全半角错误。</explain>
      <paraID>6E06744A</paraID>
      <start>4</start>
      <end>5</end>
      <status>modified</status>
      <modifiedWord>：</modifiedWord>
      <trackRevisions>false</trackRevisions>
    </reviewItem>
    <reviewItem>
      <errorID>80a78b98-b121-4722-890c-0ecf8d22c16a</errorID>
      <errorWord>:</errorWord>
      <group>L1_Format</group>
      <groupName>格式问题</groupName>
      <ability>L2_HalfPunc_CN</ability>
      <abilityName/>
      <candidateList>
        <item>：</item>
      </candidateList>
      <explain>文本全半角错误。</explain>
      <paraID> 52DDFCC</paraID>
      <start>4</start>
      <end>5</end>
      <status>modified</status>
      <modifiedWord>：</modifiedWord>
      <trackRevisions>false</trackRevisions>
    </reviewItem>
    <reviewItem>
      <errorID>296deb5c-d0c3-45a0-8197-30c53f798195</errorID>
      <errorWord>:</errorWord>
      <group>L1_Format</group>
      <groupName>格式问题</groupName>
      <ability>L2_HalfPunc_CN</ability>
      <abilityName/>
      <candidateList>
        <item>：</item>
      </candidateList>
      <explain>文本全半角错误。</explain>
      <paraID>15561847</paraID>
      <start>4</start>
      <end>5</end>
      <status>modified</status>
      <modifiedWord>：</modifiedWord>
      <trackRevisions>false</trackRevisions>
    </reviewItem>
    <reviewItem>
      <errorID>f9f55cea-fd88-4187-9107-9e8f8de1c565</errorID>
      <errorWord>:</errorWord>
      <group>L1_Format</group>
      <groupName>格式问题</groupName>
      <ability>L2_HalfPunc_CN</ability>
      <abilityName/>
      <candidateList>
        <item>：</item>
      </candidateList>
      <explain>文本全半角错误。</explain>
      <paraID>10C41D3E</paraID>
      <start>4</start>
      <end>5</end>
      <status>modified</status>
      <modifiedWord>：</modifiedWord>
      <trackRevisions>false</trackRevisions>
    </reviewItem>
    <reviewItem>
      <errorID>94518676-5634-43cd-9f2b-582e702748cc</errorID>
      <errorWord>法律、法规</errorWord>
      <group>L1_Word</group>
      <groupName>字词问题</groupName>
      <ability>L2_Typo</ability>
      <abilityName>字词错误</abilityName>
      <candidateList>
        <item>法律法规</item>
      </candidateList>
      <explain/>
      <paraID>57F1D0A0</paraID>
      <start>21</start>
      <end>25</end>
      <status>modified</status>
      <modifiedWord>法律法规</modifiedWord>
      <trackRevisions>false</trackRevisions>
    </reviewItem>
    <reviewItem>
      <errorID>cf74b78a-e8b2-49f3-94fa-6f068bc729d7</errorID>
      <errorWord>当前和今后一段时期</errorWord>
      <group>L1_Political</group>
      <groupName>政治性问题</groupName>
      <ability>L2_Keyword</ability>
      <abilityName>固定表述</abilityName>
      <candidateList>
        <item>当前和今后一个时期</item>
      </candidateList>
      <explain>词汇“当前和今后一个时期”在特定场景下为固定表述形式，请确认此处的“当前和今后一段时期”是否存在不当。</explain>
      <paraID>5857A536</paraID>
      <start>118</start>
      <end>127</end>
      <status>ignored</status>
      <modifiedWord/>
      <trackRevisions>false</trackRevisions>
    </reviewItem>
    <reviewItem>
      <errorID>152e85de-10fc-4d2e-92a8-b2cf8988a8bc</errorID>
      <errorWord>公安局局</errorWord>
      <group>L1_Political</group>
      <groupName>政治性问题</groupName>
      <ability>L2_Unpolitical</ability>
      <abilityName>政治敏感错误</abilityName>
      <candidateList>
        <item>公安局</item>
      </candidateList>
      <explain/>
      <paraID>5CF1E29B</paraID>
      <start>10</start>
      <end>13</end>
      <status>modified</status>
      <modifiedWord>公安局</modifiedWord>
      <trackRevisions>false</trackRevisions>
    </reviewItem>
    <reviewItem>
      <errorID>cd0c043c-5ff3-4e3e-9d8f-6c126e62e652</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595A1693</paraID>
      <start>18</start>
      <end>23</end>
      <status>modified</status>
      <modifiedWord>党委、政府</modifiedWord>
      <trackRevisions>false</trackRevisions>
    </reviewItem>
    <reviewItem>
      <errorID>a2f6685e-6ae4-4972-914e-4974a553ab02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4682E2AF</paraID>
      <start>0</start>
      <end>2</end>
      <status>modified</status>
      <modifiedWord>1.</modifiedWord>
      <trackRevisions>false</trackRevisions>
    </reviewItem>
    <reviewItem>
      <errorID>2e8fdb98-97d6-47e7-ae35-922d80004e3f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5300DD14</paraID>
      <start>0</start>
      <end>2</end>
      <status>modified</status>
      <modifiedWord>2.</modifiedWord>
      <trackRevisions>false</trackRevisions>
    </reviewItem>
    <reviewItem>
      <errorID>8836fd35-5c05-4d76-a411-7edab73786e7</errorID>
      <errorWord>(</errorWord>
      <group>L1_Format</group>
      <groupName>格式问题</groupName>
      <ability>L2_HalfPunc_CN</ability>
      <abilityName/>
      <candidateList>
        <item>（</item>
      </candidateList>
      <explain>文本全半角错误。</explain>
      <paraID>58272613</paraID>
      <start>12</start>
      <end>13</end>
      <status>modified</status>
      <modifiedWord>（</modifiedWord>
      <trackRevisions>false</trackRevisions>
    </reviewItem>
    <reviewItem>
      <errorID>0b7cf8f3-b4b9-4c13-aeb9-a399e87ade96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6BA6242D</paraID>
      <start>0</start>
      <end>2</end>
      <status>modified</status>
      <modifiedWord>3.</modifiedWord>
      <trackRevisions>false</trackRevisions>
    </reviewItem>
    <reviewItem>
      <errorID>28c7dd78-ef80-4dcc-a72e-d5f188896868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3BFE6A42</paraID>
      <start>0</start>
      <end>2</end>
      <status>modified</status>
      <modifiedWord>4.</modifiedWord>
      <trackRevisions>false</trackRevisions>
    </reviewItem>
    <reviewItem>
      <errorID>2b84b8fd-c383-4fd9-8c02-504b1e3685b3</errorID>
      <errorWord>,</errorWord>
      <group>L1_Format</group>
      <groupName>格式问题</groupName>
      <ability>L2_HalfPunc_CN</ability>
      <abilityName/>
      <candidateList>
        <item>，</item>
      </candidateList>
      <explain>文本全半角错误。</explain>
      <paraID>1DD3AF1E</paraID>
      <start>4</start>
      <end>5</end>
      <status>modified</status>
      <modifiedWord>，</modifiedWord>
      <trackRevisions>false</trackRevisions>
    </reviewItem>
    <reviewItem>
      <errorID>21d9c7b3-0580-45ec-96fc-7204a92d5f2c</errorID>
      <errorWord>＝</errorWord>
      <group>L1_Format</group>
      <groupName>格式问题</groupName>
      <ability>L2_HalfPunc_CN</ability>
      <abilityName/>
      <candidateList>
        <item>=</item>
      </candidateList>
      <explain>文本全半角错误。</explain>
      <paraID>36A32417</paraID>
      <start>0</start>
      <end>1</end>
      <status>modified</status>
      <modifiedWord>=</modifiedWord>
      <trackRevisions>false</trackRevisions>
    </reviewItem>
    <reviewItem>
      <errorID>e53777b5-f836-4206-bcac-69e6f5e1b493</errorID>
      <errorWord>＝</errorWord>
      <group>L1_Format</group>
      <groupName>格式问题</groupName>
      <ability>L2_HalfPunc_CN</ability>
      <abilityName/>
      <candidateList>
        <item>=</item>
      </candidateList>
      <explain>文本全半角错误。</explain>
      <paraID>581C3633</paraID>
      <start>0</start>
      <end>1</end>
      <status>modified</status>
      <modifiedWord>=</modifiedWord>
      <trackRevisions>false</trackRevisions>
    </reviewItem>
    <reviewItem>
      <errorID>775e7d29-3bdc-434d-b8c7-5abfedce1a35</errorID>
      <errorWord>＝</errorWord>
      <group>L1_Format</group>
      <groupName>格式问题</groupName>
      <ability>L2_HalfPunc_CN</ability>
      <abilityName/>
      <candidateList>
        <item>=</item>
      </candidateList>
      <explain>文本全半角错误。</explain>
      <paraID>71C775C0</paraID>
      <start>0</start>
      <end>1</end>
      <status>modified</status>
      <modifiedWord>=</modifiedWord>
      <trackRevisions>false</trackRevisions>
    </reviewItem>
    <reviewItem>
      <errorID>ba2fd9ce-d74a-47e5-b11e-b1801f999722</errorID>
      <errorWord>＝</errorWord>
      <group>L1_Format</group>
      <groupName>格式问题</groupName>
      <ability>L2_HalfPunc_CN</ability>
      <abilityName/>
      <candidateList>
        <item>=</item>
      </candidateList>
      <explain>文本全半角错误。</explain>
      <paraID>7FF881F4</paraID>
      <start>0</start>
      <end>1</end>
      <status>modified</status>
      <modifiedWord>=</modifiedWord>
      <trackRevisions>false</trackRevisions>
    </reviewItem>
    <reviewItem>
      <errorID>7e92e5a3-9490-46f8-bd14-05a38309cfbb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4733EEA8</paraID>
      <start>0</start>
      <end>6</end>
      <status>modified</status>
      <modifiedWord>“三公”经费</modifiedWord>
      <trackRevisions>false</trackRevisions>
    </reviewItem>
    <reviewItem>
      <errorID>8f17ce1a-8089-4486-8a72-9a2624160bd7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24DAB2D9</paraID>
      <start>2</start>
      <end>8</end>
      <status>modified</status>
      <modifiedWord>“三公”经费</modifiedWord>
      <trackRevisions>false</trackRevisions>
    </reviewItem>
    <reviewItem>
      <errorID>d248ed6c-0431-4563-a443-1b0c94526317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1E6A6B48</paraID>
      <start>0</start>
      <end>6</end>
      <status>modified</status>
      <modifiedWord>“三公”经费</modifiedWord>
      <trackRevisions>false</trackRevisions>
    </reviewItem>
    <reviewItem>
      <errorID>17962c36-faa6-41f6-8329-19706c567c40</errorID>
      <errorWord>＝</errorWord>
      <group>L1_Format</group>
      <groupName>格式问题</groupName>
      <ability>L2_HalfPunc_CN</ability>
      <abilityName/>
      <candidateList>
        <item>=</item>
      </candidateList>
      <explain>文本全半角错误。</explain>
      <paraID> 5E6651C</paraID>
      <start>0</start>
      <end>1</end>
      <status>modified</status>
      <modifiedWord>=</modifiedWord>
      <trackRevisions>false</trackRevisions>
    </reviewItem>
    <reviewItem>
      <errorID>8103ffd0-2502-4e67-b65c-ee2aa97872f5</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6DE97090</paraID>
      <start>4</start>
      <end>6</end>
      <status>modified</status>
      <modifiedWord>建立</modifiedWord>
      <trackRevisions>false</trackRevisions>
    </reviewItem>
    <reviewItem>
      <errorID>a2962a93-5d24-477b-aae2-cfcd1c0b0b60</errorID>
      <errorWord>＝</errorWord>
      <group>L1_Format</group>
      <groupName>格式问题</groupName>
      <ability>L2_HalfPunc_CN</ability>
      <abilityName/>
      <candidateList>
        <item>=</item>
      </candidateList>
      <explain>文本全半角错误。</explain>
      <paraID>1D2ACBD4</paraID>
      <start>0</start>
      <end>1</end>
      <status>modified</status>
      <modifiedWord>=</modifiedWord>
      <trackRevisions>false</trackRevisions>
    </reviewItem>
    <reviewItem>
      <errorID>d9c1fb96-4d42-44ff-b1b9-d367960c6742</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5D998681</paraID>
      <start>4</start>
      <end>6</end>
      <status>modified</status>
      <modifiedWord>建立</modifiedWord>
      <trackRevisions>false</trackRevisions>
    </reviewItem>
    <reviewItem>
      <errorID>a8a32e93-bdca-4a31-8181-fab885ce9482</errorID>
      <errorWord>＝</errorWord>
      <group>L1_Format</group>
      <groupName>格式问题</groupName>
      <ability>L2_HalfPunc_CN</ability>
      <abilityName/>
      <candidateList>
        <item>=</item>
      </candidateList>
      <explain>文本全半角错误。</explain>
      <paraID>1140A992</paraID>
      <start>0</start>
      <end>1</end>
      <status>modified</status>
      <modifiedWord>=</modifiedWord>
      <trackRevisions>false</trackRevisions>
    </reviewItem>
    <reviewItem>
      <errorID>f5797706-4d08-48b3-a3e2-309bb445dd0d</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717AF025</paraID>
      <start>4</start>
      <end>6</end>
      <status>modified</status>
      <modifiedWord>建立</modifiedWord>
      <trackRevisions>false</trackRevisions>
    </reviewItem>
    <reviewItem>
      <errorID>f795b854-78b3-4e0a-a225-425a30e5e38c</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10DC60C9</paraID>
      <start>4</start>
      <end>7</end>
      <status>ignored</status>
      <modifiedWord/>
      <trackRevisions>false</trackRevisions>
    </reviewItem>
    <reviewItem>
      <errorID>e28b303f-4c91-4b11-a2e0-03931374ebe0</errorID>
      <errorWord>＝</errorWord>
      <group>L1_Format</group>
      <groupName>格式问题</groupName>
      <ability>L2_HalfPunc_CN</ability>
      <abilityName/>
      <candidateList>
        <item>=</item>
      </candidateList>
      <explain>文本全半角错误。</explain>
      <paraID>67F61E53</paraID>
      <start>0</start>
      <end>1</end>
      <status>modified</status>
      <modifiedWord>=</modifiedWord>
      <trackRevisions>false</trackRevisions>
    </reviewItem>
    <reviewItem>
      <errorID>d550ec8e-3d1f-4016-880e-567c69782e72</errorID>
      <errorWord>＝</errorWord>
      <group>L1_Format</group>
      <groupName>格式问题</groupName>
      <ability>L2_HalfPunc_CN</ability>
      <abilityName/>
      <candidateList>
        <item>=</item>
      </candidateList>
      <explain>文本全半角错误。</explain>
      <paraID>397A94F6</paraID>
      <start>0</start>
      <end>1</end>
      <status>modified</status>
      <modifiedWord>=</modifiedWord>
      <trackRevisions>false</trackRevisions>
    </reviewItem>
    <reviewItem>
      <errorID>803d4418-3292-42a2-87fa-90db139dd739</errorID>
      <errorWord>＝</errorWord>
      <group>L1_Format</group>
      <groupName>格式问题</groupName>
      <ability>L2_HalfPunc_CN</ability>
      <abilityName/>
      <candidateList>
        <item>=</item>
      </candidateList>
      <explain>文本全半角错误。</explain>
      <paraID>594BF2C3</paraID>
      <start>0</start>
      <end>1</end>
      <status>modified</status>
      <modifiedWord>=</modifiedWord>
      <trackRevisions>false</trackRevisions>
    </reviewItem>
    <reviewItem>
      <errorID>fa026a85-8b70-4cc6-9ce9-e1ada6114852</errorID>
      <errorWord>＝</errorWord>
      <group>L1_Format</group>
      <groupName>格式问题</groupName>
      <ability>L2_HalfPunc_CN</ability>
      <abilityName/>
      <candidateList>
        <item>=</item>
      </candidateList>
      <explain>文本全半角错误。</explain>
      <paraID>3F977EA8</paraID>
      <start>0</start>
      <end>1</end>
      <status>modified</status>
      <modifiedWord>=</modifiedWord>
      <trackRevisions>false</trackRevisions>
    </reviewItem>
    <reviewItem>
      <errorID>a0a672bc-61fd-434b-861f-86eaa39e42c0</errorID>
      <errorWord>公用安全</errorWord>
      <group>L1_Word</group>
      <groupName>字词问题</groupName>
      <ability>L2_Typo</ability>
      <abilityName>字词错误</abilityName>
      <candidateList>
        <item>公共安全</item>
      </candidateList>
      <explain/>
      <paraID>3B2074A4</paraID>
      <start>17</start>
      <end>21</end>
      <status>modified</status>
      <modifiedWord>公共安全</modifiedWord>
      <trackRevisions>false</trackRevisions>
    </reviewItem>
    <reviewItem>
      <errorID>398a8247-9cc4-4b26-a0e4-fbf1afe9ea01</errorID>
      <errorWord>公用安全</errorWord>
      <group>L1_Word</group>
      <groupName>字词问题</groupName>
      <ability>L2_Typo</ability>
      <abilityName>字词错误</abilityName>
      <candidateList>
        <item>公共安全</item>
      </candidateList>
      <explain/>
      <paraID>2DF19199</paraID>
      <start>18</start>
      <end>22</end>
      <status>modified</status>
      <modifiedWord>公共安全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6a858f-9971-4372-8195-bc3b2473b956}">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165</Words>
  <Characters>188</Characters>
  <Lines>0</Lines>
  <Paragraphs>0</Paragraphs>
  <TotalTime>0</TotalTime>
  <ScaleCrop>false</ScaleCrop>
  <LinksUpToDate>false</LinksUpToDate>
  <CharactersWithSpaces>206</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2026-06-29T09:49:00Z</dcterms:created>
  <dc:creator>1</dc:creator>
  <cp:lastModifiedBy>Administrator</cp:lastModifiedBy>
  <cp:lastPrinted>2026-10-10T01:43:00Z</cp:lastPrinted>
  <dcterms:modified xsi:type="dcterms:W3CDTF">2026-10-19T01:50:19Z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EA7ADE94CF1C4F7AB3A45953819EE0C8_13</vt:lpwstr>
  </property>
  <property fmtid="{D5CDD505-2E9C-101B-9397-08002B2CF9AE}" pid="4" name="KSOTemplateDocerSaveRecord">
    <vt:lpwstr>eyJoZGlkIjoiMGEzYjIwMjcxNGVmOTViN2NmZmI3YTIzMzEzYzgzZDQiLCJ1c2VySWQiOiIxMTc4MzgzODgzIn0=</vt:lpwstr>
  </property>
</Properties>
</file>