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widowControl/>
        <w:spacing w:line="0" w:lineRule="atLeast"/>
        <w:jc w:val="center"/>
        <w:rPr>
          <w:rFonts w:ascii="方正小标宋_GBK" w:hAnsi="方正小标宋简体" w:eastAsia="方正小标宋_GBK" w:cs="方正小标宋简体"/>
          <w:sz w:val="44"/>
          <w:szCs w:val="44"/>
        </w:rPr>
      </w:pPr>
      <w:bookmarkStart w:id="0" w:name="_GoBack"/>
      <w:r>
        <w:rPr>
          <w:rFonts w:hint="eastAsia" w:ascii="方正小标宋_GBK" w:hAnsi="方正小标宋简体" w:eastAsia="方正小标宋_GBK" w:cs="方正小标宋简体"/>
          <w:sz w:val="44"/>
          <w:szCs w:val="44"/>
        </w:rPr>
        <w:t>202</w:t>
      </w:r>
      <w:r>
        <w:rPr>
          <w:rFonts w:hint="eastAsia" w:ascii="方正小标宋_GBK" w:hAnsi="方正小标宋简体" w:eastAsia="方正小标宋_GBK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_GBK" w:hAnsi="方正小标宋简体" w:eastAsia="方正小标宋_GBK" w:cs="方正小标宋简体"/>
          <w:sz w:val="44"/>
          <w:szCs w:val="44"/>
        </w:rPr>
        <w:t>年度南京市公安局交通管理局</w:t>
      </w:r>
    </w:p>
    <w:p>
      <w:pPr>
        <w:widowControl/>
        <w:spacing w:line="0" w:lineRule="atLeast"/>
        <w:jc w:val="center"/>
        <w:rPr>
          <w:rFonts w:ascii="方正小标宋_GBK" w:hAnsi="方正小标宋简体" w:eastAsia="方正小标宋_GBK" w:cs="方正小标宋简体"/>
          <w:sz w:val="44"/>
          <w:szCs w:val="44"/>
        </w:rPr>
      </w:pPr>
      <w:r>
        <w:rPr>
          <w:rFonts w:hint="eastAsia" w:ascii="方正小标宋_GBK" w:hAnsi="方正小标宋简体" w:eastAsia="方正小标宋_GBK" w:cs="方正小标宋简体"/>
          <w:sz w:val="44"/>
          <w:szCs w:val="44"/>
        </w:rPr>
        <w:t>部门整体绩效评价报告</w:t>
      </w:r>
    </w:p>
    <w:p>
      <w:pPr>
        <w:pStyle w:val="4"/>
      </w:pPr>
    </w:p>
    <w:p>
      <w:pPr>
        <w:widowControl/>
        <w:spacing w:line="600" w:lineRule="exact"/>
        <w:ind w:firstLine="640" w:firstLineChars="200"/>
        <w:rPr>
          <w:rFonts w:ascii="方正黑体_GBK" w:hAnsi="方正黑体_GBK" w:eastAsia="方正黑体_GBK" w:cs="方正黑体_GBK"/>
          <w:color w:val="000000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</w:rPr>
        <w:t>一、部门概况</w:t>
      </w:r>
    </w:p>
    <w:p>
      <w:pPr>
        <w:widowControl/>
        <w:spacing w:line="600" w:lineRule="exact"/>
        <w:ind w:firstLine="640" w:firstLineChars="200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kern w:val="0"/>
          <w:sz w:val="32"/>
          <w:szCs w:val="32"/>
          <w:lang w:val="zh-CN" w:bidi="zh-CN"/>
        </w:rPr>
        <w:t>（一）部门基本情况</w:t>
      </w:r>
    </w:p>
    <w:p>
      <w:pPr>
        <w:widowControl/>
        <w:spacing w:line="600" w:lineRule="exact"/>
        <w:ind w:firstLine="640" w:firstLineChars="200"/>
        <w:rPr>
          <w:rFonts w:eastAsia="黑体"/>
          <w:b w:val="0"/>
          <w:bCs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bidi="zh-CN"/>
        </w:rPr>
        <w:t>1、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bidi="zh-CN"/>
        </w:rPr>
        <w:t>部门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zh-CN" w:bidi="zh-CN"/>
        </w:rPr>
        <w:t>职能</w:t>
      </w:r>
    </w:p>
    <w:p>
      <w:pPr>
        <w:widowControl/>
        <w:spacing w:line="600" w:lineRule="exact"/>
        <w:ind w:firstLine="640" w:firstLineChars="200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  <w:lang w:val="zh-CN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研究起草南京市道路交通安全管理地方性法规、规章及规范性文件；负责全市公安交通管理和交警队伍建设；负责维护道路交通安全、道路交通秩序，公安检查站治安查缉和涉交通类治安刑事案件办理；负责道路交通指挥调度、情报研判和应急管理；负责道路交通事故预防、处理和复核；参与道路交通组织规划和安全设施建设维护；负责重大活动交通警卫工作；负责道路交通安全宣传教育；负责交通管理科技信息化建设；负责车辆查验、驾驶人考试、车辆及驾驶人牌证核发及重点车辆源头监管工作；负责指导江北新区、江宁、浦口、六合、溧水、高淳区道（公）路交通安全管理工作。</w:t>
      </w:r>
    </w:p>
    <w:p>
      <w:pPr>
        <w:widowControl/>
        <w:spacing w:line="600" w:lineRule="exact"/>
        <w:ind w:firstLine="640" w:firstLineChars="200"/>
        <w:rPr>
          <w:rFonts w:ascii="方正仿宋_GBK" w:hAnsi="方正仿宋_GBK" w:eastAsia="方正仿宋_GBK" w:cs="方正仿宋_GBK"/>
          <w:b w:val="0"/>
          <w:bCs/>
          <w:color w:val="000000"/>
          <w:kern w:val="0"/>
          <w:sz w:val="32"/>
          <w:szCs w:val="32"/>
          <w:lang w:val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zh-CN" w:bidi="zh-CN"/>
        </w:rPr>
        <w:t>2、机构设置</w:t>
      </w:r>
    </w:p>
    <w:p>
      <w:pPr>
        <w:widowControl/>
        <w:spacing w:line="600" w:lineRule="exact"/>
        <w:ind w:firstLine="640" w:firstLineChars="200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南京市公安局交通管理局下设11个机关科室，1个车辆管理所（内设7个科室，1个分所），21个执勤大队（8个城区大队，1个机动大队，12个高速公路大队）。</w:t>
      </w:r>
    </w:p>
    <w:p>
      <w:pPr>
        <w:widowControl/>
        <w:numPr>
          <w:ilvl w:val="0"/>
          <w:numId w:val="1"/>
        </w:numPr>
        <w:spacing w:line="600" w:lineRule="exact"/>
        <w:ind w:firstLine="640" w:firstLineChars="200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人员配置</w:t>
      </w:r>
    </w:p>
    <w:p>
      <w:pPr>
        <w:pStyle w:val="3"/>
        <w:numPr>
          <w:ilvl w:val="0"/>
          <w:numId w:val="0"/>
        </w:numPr>
        <w:ind w:firstLine="640" w:firstLineChars="200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截至202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末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，本单位实有在职人员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1357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人（含行政工人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编制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），离退休人员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629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人。</w:t>
      </w:r>
    </w:p>
    <w:p>
      <w:pPr>
        <w:numPr>
          <w:ilvl w:val="0"/>
          <w:numId w:val="1"/>
        </w:numPr>
        <w:ind w:left="0" w:leftChars="0" w:firstLine="640" w:firstLineChars="200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部门资产</w:t>
      </w:r>
    </w:p>
    <w:p>
      <w:pPr>
        <w:pStyle w:val="3"/>
        <w:numPr>
          <w:ilvl w:val="0"/>
          <w:numId w:val="0"/>
        </w:numPr>
        <w:ind w:firstLine="640" w:firstLineChars="200"/>
        <w:rPr>
          <w:rFonts w:hint="default" w:eastAsia="方正仿宋_GBK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截至202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末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，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本单位资产总额为72075.89万元，其中流动资产9044.71万元，非流动资产63031.18万元。固定资产原值为145624.25万元，净值为40924.77万元，办公设备按照核定标准配置。无形资产原值为1099.72万元，净值为727.74万元。</w:t>
      </w:r>
    </w:p>
    <w:p>
      <w:pPr>
        <w:widowControl/>
        <w:numPr>
          <w:ilvl w:val="0"/>
          <w:numId w:val="2"/>
        </w:numPr>
        <w:spacing w:line="600" w:lineRule="exact"/>
        <w:ind w:firstLine="640" w:firstLineChars="200"/>
        <w:jc w:val="left"/>
        <w:rPr>
          <w:rFonts w:hint="eastAsia" w:ascii="方正仿宋_GBK" w:hAnsi="方正仿宋_GBK" w:eastAsia="方正仿宋_GBK" w:cs="方正仿宋_GBK"/>
          <w:bCs/>
          <w:kern w:val="0"/>
          <w:sz w:val="32"/>
          <w:szCs w:val="32"/>
          <w:lang w:val="zh-CN" w:bidi="zh-CN"/>
        </w:rPr>
      </w:pPr>
      <w:r>
        <w:rPr>
          <w:rFonts w:hint="eastAsia" w:ascii="方正仿宋_GBK" w:hAnsi="方正仿宋_GBK" w:eastAsia="方正仿宋_GBK" w:cs="方正仿宋_GBK"/>
          <w:bCs/>
          <w:kern w:val="0"/>
          <w:sz w:val="32"/>
          <w:szCs w:val="32"/>
          <w:lang w:val="zh-CN" w:bidi="zh-CN"/>
        </w:rPr>
        <w:t>部门</w:t>
      </w:r>
      <w:r>
        <w:rPr>
          <w:rFonts w:hint="eastAsia" w:ascii="方正仿宋_GBK" w:hAnsi="方正仿宋_GBK" w:eastAsia="方正仿宋_GBK" w:cs="方正仿宋_GBK"/>
          <w:bCs/>
          <w:kern w:val="0"/>
          <w:sz w:val="32"/>
          <w:szCs w:val="32"/>
          <w:lang w:val="en-US" w:bidi="zh-CN"/>
        </w:rPr>
        <w:t>资金</w:t>
      </w:r>
      <w:r>
        <w:rPr>
          <w:rFonts w:hint="eastAsia" w:ascii="方正仿宋_GBK" w:hAnsi="方正仿宋_GBK" w:eastAsia="方正仿宋_GBK" w:cs="方正仿宋_GBK"/>
          <w:bCs/>
          <w:kern w:val="0"/>
          <w:sz w:val="32"/>
          <w:szCs w:val="32"/>
          <w:lang w:val="zh-CN" w:bidi="zh-CN"/>
        </w:rPr>
        <w:t>情况</w:t>
      </w:r>
    </w:p>
    <w:p>
      <w:pPr>
        <w:widowControl/>
        <w:spacing w:line="600" w:lineRule="exact"/>
        <w:ind w:firstLine="640" w:firstLineChars="200"/>
        <w:jc w:val="both"/>
        <w:rPr>
          <w:rFonts w:hint="default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1.部门收支情况</w:t>
      </w:r>
    </w:p>
    <w:p>
      <w:pPr>
        <w:widowControl/>
        <w:spacing w:line="60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2025年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南京市公安局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交通管理局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年初预算数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为88614.68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万元，其中：基本支出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74575.19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万元、项目支出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14039.49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万元。部门决算本年收入为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101568.03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万元，其中：财政拨款收入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93407.16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万元，其他收入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8160.87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万元。部门决算本年支出数为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101781.53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万元，其中：基本支出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84502.25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万元，项目支出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17279.28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万元。</w:t>
      </w:r>
    </w:p>
    <w:p>
      <w:pPr>
        <w:widowControl/>
        <w:numPr>
          <w:ilvl w:val="0"/>
          <w:numId w:val="0"/>
        </w:numPr>
        <w:spacing w:line="60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2.三公经费情况</w:t>
      </w:r>
    </w:p>
    <w:p>
      <w:pPr>
        <w:widowControl/>
        <w:numPr>
          <w:ilvl w:val="0"/>
          <w:numId w:val="0"/>
        </w:numPr>
        <w:spacing w:line="60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本年度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“三公”经费预算数为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2451.65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万元，决算支出数为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2443.93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万元。“三公”经费预算与执行情况如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下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：</w:t>
      </w:r>
    </w:p>
    <w:p>
      <w:pPr>
        <w:widowControl/>
        <w:spacing w:line="600" w:lineRule="exact"/>
        <w:jc w:val="center"/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</w:rPr>
        <w:t>202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</w:rPr>
        <w:t>年南京市公安局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val="en-US" w:eastAsia="zh-CN"/>
        </w:rPr>
        <w:t>交通管理局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</w:rPr>
        <w:t>“三公”经费预算与执行情况表</w:t>
      </w:r>
    </w:p>
    <w:p>
      <w:pPr>
        <w:widowControl/>
        <w:spacing w:line="600" w:lineRule="exact"/>
        <w:ind w:firstLine="560" w:firstLineChars="200"/>
        <w:jc w:val="right"/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val="zh-CN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</w:rPr>
        <w:t>金额：万元</w:t>
      </w:r>
    </w:p>
    <w:tbl>
      <w:tblPr>
        <w:tblStyle w:val="17"/>
        <w:tblW w:w="847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1844"/>
        <w:gridCol w:w="184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widowControl/>
              <w:spacing w:line="6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  <w:t>项目</w:t>
            </w:r>
          </w:p>
        </w:tc>
        <w:tc>
          <w:tcPr>
            <w:tcW w:w="18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  <w:t>预算数</w:t>
            </w:r>
          </w:p>
        </w:tc>
        <w:tc>
          <w:tcPr>
            <w:tcW w:w="18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  <w:t>决算数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</w:trPr>
        <w:tc>
          <w:tcPr>
            <w:tcW w:w="47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6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zh-CN"/>
              </w:rPr>
              <w:t>1.因公出国（境）费</w:t>
            </w:r>
          </w:p>
        </w:tc>
        <w:tc>
          <w:tcPr>
            <w:tcW w:w="18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8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exact"/>
        </w:trPr>
        <w:tc>
          <w:tcPr>
            <w:tcW w:w="47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6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zh-CN"/>
              </w:rPr>
              <w:t>2.公务接待费</w:t>
            </w:r>
          </w:p>
        </w:tc>
        <w:tc>
          <w:tcPr>
            <w:tcW w:w="18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8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2.38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exact"/>
        </w:trPr>
        <w:tc>
          <w:tcPr>
            <w:tcW w:w="47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6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zh-CN"/>
              </w:rPr>
              <w:t>3.公务车辆购置及运行费</w:t>
            </w:r>
          </w:p>
        </w:tc>
        <w:tc>
          <w:tcPr>
            <w:tcW w:w="18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2441.65</w:t>
            </w:r>
          </w:p>
        </w:tc>
        <w:tc>
          <w:tcPr>
            <w:tcW w:w="18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2441.55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exact"/>
        </w:trPr>
        <w:tc>
          <w:tcPr>
            <w:tcW w:w="47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zh-CN"/>
              </w:rPr>
              <w:t>合 计</w:t>
            </w:r>
          </w:p>
        </w:tc>
        <w:tc>
          <w:tcPr>
            <w:tcW w:w="18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2451.65</w:t>
            </w:r>
          </w:p>
        </w:tc>
        <w:tc>
          <w:tcPr>
            <w:tcW w:w="18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2443.93</w:t>
            </w:r>
          </w:p>
        </w:tc>
      </w:tr>
    </w:tbl>
    <w:p>
      <w:pPr>
        <w:widowControl/>
        <w:numPr>
          <w:ilvl w:val="0"/>
          <w:numId w:val="0"/>
        </w:numPr>
        <w:spacing w:line="600" w:lineRule="exact"/>
        <w:ind w:firstLine="640" w:firstLineChars="200"/>
        <w:jc w:val="both"/>
        <w:rPr>
          <w:rFonts w:hint="default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3.专项资金情况</w:t>
      </w:r>
    </w:p>
    <w:p>
      <w:pPr>
        <w:widowControl/>
        <w:spacing w:line="600" w:lineRule="exact"/>
        <w:ind w:firstLine="640" w:firstLineChars="200"/>
        <w:jc w:val="left"/>
        <w:rPr>
          <w:rFonts w:hint="default" w:ascii="方正仿宋_GBK" w:hAnsi="方正仿宋_GBK" w:eastAsia="方正仿宋_GBK" w:cs="方正仿宋_GBK"/>
          <w:bCs/>
          <w:kern w:val="0"/>
          <w:sz w:val="32"/>
          <w:szCs w:val="32"/>
          <w:lang w:val="en-US" w:bidi="zh-CN"/>
        </w:rPr>
      </w:pPr>
      <w:r>
        <w:rPr>
          <w:rFonts w:hint="eastAsia" w:ascii="方正仿宋_GBK" w:hAnsi="方正仿宋_GBK" w:eastAsia="方正仿宋_GBK" w:cs="方正仿宋_GBK"/>
          <w:bCs/>
          <w:kern w:val="0"/>
          <w:sz w:val="32"/>
          <w:szCs w:val="32"/>
          <w:lang w:val="en-US" w:bidi="zh-CN"/>
        </w:rPr>
        <w:t>2025年南京市公安局交通管理局无市级专项资金项目。</w:t>
      </w:r>
    </w:p>
    <w:p>
      <w:pPr>
        <w:widowControl/>
        <w:spacing w:line="600" w:lineRule="exact"/>
        <w:ind w:firstLine="640" w:firstLineChars="200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kern w:val="0"/>
          <w:sz w:val="32"/>
          <w:szCs w:val="32"/>
          <w:lang w:val="zh-CN" w:bidi="zh-CN"/>
        </w:rPr>
        <w:t>（三）部门绩效目标</w:t>
      </w:r>
    </w:p>
    <w:p>
      <w:pPr>
        <w:widowControl/>
        <w:spacing w:line="600" w:lineRule="exact"/>
        <w:ind w:firstLine="640" w:firstLineChars="200"/>
        <w:jc w:val="left"/>
        <w:rPr>
          <w:rFonts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</w:rPr>
        <w:t>1、中长期目标</w:t>
      </w:r>
    </w:p>
    <w:p>
      <w:pPr>
        <w:widowControl/>
        <w:spacing w:line="600" w:lineRule="exact"/>
        <w:ind w:firstLine="640" w:firstLineChars="200"/>
        <w:jc w:val="left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坚持以习近平新时代中国特色社会主义思想为指导，持续推进指调一体化、勤务机动化、执法规范化和交管数智化改革，全力以赴做好防风险、保安全、保畅通、促改革、惠民生各项工作，努力推动全市公安交管工作高质量发展走在全国前列。</w:t>
      </w:r>
    </w:p>
    <w:p>
      <w:pPr>
        <w:widowControl/>
        <w:spacing w:line="600" w:lineRule="exact"/>
        <w:ind w:firstLine="640" w:firstLineChars="200"/>
        <w:jc w:val="left"/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</w:rPr>
        <w:t>2、年度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lang w:val="en-US" w:eastAsia="zh-CN"/>
        </w:rPr>
        <w:t>绩效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</w:rPr>
        <w:t>目标</w:t>
      </w:r>
    </w:p>
    <w:p>
      <w:pPr>
        <w:widowControl/>
        <w:spacing w:line="60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2025年，全市公安交警将坚持以习近平新时代中国特色社会主义思想为指导，对标“新警务理念、新运行模式、新技术装备、新管理体系”，以协同共治为关键深化综合治理，以“一次就办好”为核心改进执法服务，以能力提升为突破强化职责担当，深化推进指调一体化、勤务机动化、执法规范化和交管数智化改革实践，抓实抓好保安全、保畅通、护稳定、促发展各项工作，努力为中国式现代化南京新实践创造安全稳定、文明有序的道路交通环境。</w:t>
      </w:r>
    </w:p>
    <w:p>
      <w:pPr>
        <w:widowControl/>
        <w:numPr>
          <w:ilvl w:val="0"/>
          <w:numId w:val="3"/>
        </w:numPr>
        <w:spacing w:line="600" w:lineRule="exact"/>
        <w:ind w:firstLine="640" w:firstLineChars="200"/>
        <w:jc w:val="left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</w:rPr>
        <w:t>评价结论</w:t>
      </w:r>
    </w:p>
    <w:p>
      <w:pPr>
        <w:widowControl/>
        <w:numPr>
          <w:ilvl w:val="0"/>
          <w:numId w:val="4"/>
        </w:numPr>
        <w:spacing w:line="600" w:lineRule="exact"/>
        <w:ind w:firstLine="640" w:firstLineChars="200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评价对象与范围</w:t>
      </w:r>
    </w:p>
    <w:p>
      <w:pPr>
        <w:widowControl/>
        <w:numPr>
          <w:ilvl w:val="0"/>
          <w:numId w:val="0"/>
        </w:numPr>
        <w:spacing w:line="600" w:lineRule="exact"/>
        <w:ind w:firstLine="640" w:firstLineChars="200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本次评价对象为南京市公安局交通管理局部门整体资金，</w:t>
      </w:r>
      <w:r>
        <w:rPr>
          <w:rFonts w:hint="default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预算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安排</w:t>
      </w:r>
      <w:r>
        <w:rPr>
          <w:rFonts w:hint="default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数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为88614.68</w:t>
      </w:r>
      <w:r>
        <w:rPr>
          <w:rFonts w:hint="default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万元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，</w:t>
      </w:r>
      <w:r>
        <w:rPr>
          <w:rFonts w:hint="default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调整后预算数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为101568.03</w:t>
      </w:r>
      <w:r>
        <w:rPr>
          <w:rFonts w:hint="default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万元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。评价时段为2025年1月1日至12月31日。</w:t>
      </w:r>
    </w:p>
    <w:p>
      <w:pPr>
        <w:pStyle w:val="3"/>
        <w:ind w:firstLine="640" w:firstLineChars="200"/>
        <w:rPr>
          <w:rFonts w:hint="default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（二）绩效评价结论</w:t>
      </w:r>
    </w:p>
    <w:p>
      <w:pPr>
        <w:widowControl/>
        <w:numPr>
          <w:ilvl w:val="0"/>
          <w:numId w:val="0"/>
        </w:numPr>
        <w:spacing w:line="600" w:lineRule="exact"/>
        <w:ind w:firstLine="640" w:firstLineChars="200"/>
        <w:jc w:val="left"/>
        <w:rPr>
          <w:rFonts w:hint="default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 w:bidi="ar-SA"/>
        </w:rPr>
        <w:t>2025年，全市公安交管部门全面贯彻落实全国、全省、全市公安工作会议精神，深入践行“创新、主动、规范、协同、精细、务实”的新警务理念，以新质战斗力提升工程为载体，推动交通管理向交通治理，再向交通智治转变，全力打造安全文明畅通有序的道路交通环境，让平安成为最暖的城市温度。支队获评第七届“全国文明单位”，省市领导先后26次批示肯定交通管理工作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。自评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 w:bidi="ar-SA"/>
        </w:rPr>
        <w:t>价综合得分98分，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zh-CN" w:eastAsia="zh-CN" w:bidi="ar-SA"/>
        </w:rPr>
        <w:t>等级为“优”。</w:t>
      </w:r>
    </w:p>
    <w:p>
      <w:pPr>
        <w:widowControl/>
        <w:spacing w:line="600" w:lineRule="exact"/>
        <w:ind w:firstLine="640" w:firstLineChars="200"/>
        <w:jc w:val="left"/>
        <w:rPr>
          <w:rFonts w:ascii="方正黑体_GBK" w:hAnsi="方正黑体_GBK" w:eastAsia="方正黑体_GBK" w:cs="方正黑体_GBK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</w:rPr>
        <w:t>三、部门履职成效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 w:bidi="ar-SA"/>
        </w:rPr>
        <w:t>一是事故“减量控大”工作成效领先。“5505”工程整治道路安全隐患，“十项攻坚战”提升整体交通环境，“八大提升工程”补齐农村安全短板，“清源固防”行动消除源头安全风险。二是交通强治理打造“南京样板”。钟山风景区交通提升行动历史性改善景区交通环境，“苏超”赛事打造5万人以上大型活动30分钟内疏散新标杆，南京马拉松“岛式穿越”火爆全网、全国借鉴，央视新闻、新华社、人民日报三大央媒齐点赞。新街口跨年夜交通管控创“3分钟清空、15分钟恢复”最快记录，“五色花”被评为江苏省志愿服务项目大赛一等奖，“一校一策”“定制公交”等民生实事项目赢得群众点赞。三是交管新质战斗力持续释放。在全国交警率先打造无人机系统化、规模化、智慧化应用体系，首创“巡查管控处护联”七大实战场景，先后荣获公安部基层技术革新比武大赛，以及全国、全省交管系统及全市公安机关建模大赛一等奖，全国率先开展“交通信号自适应控制”“事故一件事全链条处理”等项目试点，率先落地AI眼镜、监控智巡、高速慧眼等新技术场景化应用。四是执法服务能力再攀高峰。成立案件办理大队，深化群众身边不正之风和腐败问题专项整治，“多法合一”实现组织他人违章冒险作业案、“碰瓷”团伙敲诈勒索案、“鬼火少年团”聚众扰乱公共场所秩序案等五类新案件侦办“零突破”。五是队伍管理质效显著提升。构建交管特色大监督格局，通过贯通研判、源头治理各类民意诉求，全年诉求总量下降11%，通过党建引领、全员考核、“四个一”岗位专训、创立警体俱乐部，全警素质能力和作风形象持续提振，全年7个集体、156名民警、100名辅警受到上级表彰，为近三年最多。</w:t>
      </w:r>
    </w:p>
    <w:p>
      <w:pPr>
        <w:widowControl/>
        <w:numPr>
          <w:ilvl w:val="0"/>
          <w:numId w:val="5"/>
        </w:numPr>
        <w:spacing w:line="600" w:lineRule="exact"/>
        <w:ind w:firstLine="640" w:firstLineChars="200"/>
        <w:jc w:val="left"/>
        <w:rPr>
          <w:rFonts w:ascii="方正黑体_GBK" w:hAnsi="方正黑体_GBK" w:eastAsia="方正黑体_GBK" w:cs="方正黑体_GBK"/>
          <w:bCs/>
          <w:color w:val="000000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</w:rPr>
        <w:t>存在问题及原因分析</w:t>
      </w:r>
    </w:p>
    <w:p>
      <w:pPr>
        <w:spacing w:line="560" w:lineRule="exact"/>
        <w:ind w:firstLine="640" w:firstLineChars="200"/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 w:bidi="ar-SA"/>
        </w:rPr>
        <w:t>一是自评价经验不足，站位不高，自评价人员通常站在本单位职能的角度对工作进行评价，不能总体统筹考虑绩效情况；二是部分项目支出具有专业性，绩效评价缺少专业知识的支撑；三是存在部分绩效评价难以量化，主观判断的自由裁量空间较大。产生的原因主要是绩效评价能力不足，影响预算执行效果。</w:t>
      </w:r>
    </w:p>
    <w:p>
      <w:pPr>
        <w:numPr>
          <w:ilvl w:val="0"/>
          <w:numId w:val="5"/>
        </w:numPr>
        <w:spacing w:line="600" w:lineRule="exact"/>
        <w:ind w:firstLine="640" w:firstLineChars="200"/>
        <w:rPr>
          <w:rFonts w:ascii="方正黑体_GBK" w:hAnsi="方正黑体_GBK" w:eastAsia="方正黑体_GBK" w:cs="方正黑体_GBK"/>
          <w:color w:val="000000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</w:rPr>
        <w:t>有关建议</w:t>
      </w:r>
    </w:p>
    <w:p>
      <w:pPr>
        <w:widowControl/>
        <w:spacing w:line="600" w:lineRule="exact"/>
        <w:ind w:firstLine="640" w:firstLineChars="200"/>
        <w:jc w:val="left"/>
      </w:pPr>
      <w:r>
        <w:rPr>
          <w:rFonts w:hint="eastAsia" w:ascii="方正仿宋_GBK" w:hAnsi="方正仿宋_GBK" w:eastAsia="方正仿宋_GBK" w:cs="方正仿宋_GBK"/>
          <w:bCs/>
          <w:color w:val="000000"/>
          <w:kern w:val="0"/>
          <w:sz w:val="32"/>
          <w:szCs w:val="32"/>
        </w:rPr>
        <w:t>建议市财政局组织绩效管理方面的培训，提高预算单位对绩效管理政策的掌握程度，同时利用事务所等专业力量，结合各系统业务实际提供政策指导，细化考核要求，真正提升部门绩效管理能力，避免绩效工作流于纸面。</w:t>
      </w:r>
    </w:p>
    <w:p>
      <w:pPr>
        <w:spacing w:line="600" w:lineRule="exact"/>
        <w:ind w:firstLine="640" w:firstLineChars="200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</w:rPr>
        <w:t>六、评价工作开展情况及其他需说明的情况</w:t>
      </w:r>
    </w:p>
    <w:p>
      <w:pPr>
        <w:keepNext/>
        <w:keepLines/>
        <w:autoSpaceDE w:val="0"/>
        <w:autoSpaceDN w:val="0"/>
        <w:spacing w:line="560" w:lineRule="exact"/>
        <w:ind w:firstLine="640" w:firstLineChars="200"/>
        <w:jc w:val="left"/>
        <w:outlineLvl w:val="1"/>
        <w:rPr>
          <w:rFonts w:hint="default" w:ascii="方正仿宋_GBK" w:hAnsi="方正仿宋_GBK" w:eastAsia="方正仿宋_GBK" w:cs="方正仿宋_GBK"/>
          <w:bCs/>
          <w:kern w:val="0"/>
          <w:sz w:val="32"/>
          <w:szCs w:val="32"/>
          <w:lang w:val="en-US" w:bidi="zh-CN"/>
        </w:rPr>
      </w:pPr>
      <w:r>
        <w:rPr>
          <w:rFonts w:hint="eastAsia" w:ascii="方正仿宋_GBK" w:hAnsi="方正仿宋_GBK" w:eastAsia="方正仿宋_GBK" w:cs="方正仿宋_GBK"/>
          <w:bCs/>
          <w:kern w:val="0"/>
          <w:sz w:val="32"/>
          <w:szCs w:val="32"/>
          <w:lang w:val="zh-CN" w:bidi="zh-CN"/>
        </w:rPr>
        <w:t>（一）</w:t>
      </w:r>
      <w:r>
        <w:rPr>
          <w:rFonts w:hint="eastAsia" w:ascii="方正仿宋_GBK" w:hAnsi="方正仿宋_GBK" w:eastAsia="方正仿宋_GBK" w:cs="方正仿宋_GBK"/>
          <w:bCs/>
          <w:kern w:val="0"/>
          <w:sz w:val="32"/>
          <w:szCs w:val="32"/>
          <w:lang w:val="en-US" w:bidi="zh-CN"/>
        </w:rPr>
        <w:t>绩效评价工作情况</w:t>
      </w:r>
    </w:p>
    <w:p>
      <w:pPr>
        <w:spacing w:line="60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1.评价思路及方法</w:t>
      </w:r>
    </w:p>
    <w:p>
      <w:pPr>
        <w:spacing w:line="60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通过对202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年度预算配置、预算资金管理、资产管理、职责履行、履职效益等内容的绩效考评，提高财政资金的使用效率，为财政部门预算管理提供决策依据。遵循客观公正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操作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便捷、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实事求是的原则；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综合运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用比较法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投入产出效益分析法、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因素分析法等方法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进行部门整体绩效综合评价。</w:t>
      </w:r>
    </w:p>
    <w:p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2.评价组织与分工</w:t>
      </w:r>
    </w:p>
    <w:p>
      <w:pPr>
        <w:keepNext/>
        <w:keepLines/>
        <w:autoSpaceDE w:val="0"/>
        <w:autoSpaceDN w:val="0"/>
        <w:spacing w:line="560" w:lineRule="exact"/>
        <w:ind w:firstLine="640" w:firstLineChars="200"/>
        <w:jc w:val="left"/>
        <w:outlineLvl w:val="1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我单位建立了以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局长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为单位总负责人，分管领导为事项负责人（主评人），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警务保障室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为牵头部门，各具体业务大队为绩效落实部门的组织与分工框架，对本单位全年的绩效进行具体落实。</w:t>
      </w:r>
    </w:p>
    <w:p>
      <w:pPr>
        <w:numPr>
          <w:ilvl w:val="0"/>
          <w:numId w:val="0"/>
        </w:numPr>
        <w:spacing w:line="60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3.评价过程</w:t>
      </w:r>
    </w:p>
    <w:p>
      <w:pPr>
        <w:pStyle w:val="3"/>
        <w:ind w:firstLine="640" w:firstLineChars="200"/>
        <w:rPr>
          <w:rFonts w:hint="default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我单位评价主要过程为：1、前期准备阶段，明确评价对象，评价周期，评价所依据的制度、预算文件、工作目标，制定评分标准及防范；2、资料收集阶段及实地核查与调研阶段，收集预算批复、财务凭证、工作总结、各类工作台账等；3、指标测算与初步评分阶段，对照年初预设绩效指标内容，主项核算数据、逐项打分，梳理存在问题；4、撰写绩效评价阶段，对绩效执行情况、绩效实现、问题短板、改进建议，进行进一步梳理和归集。</w:t>
      </w:r>
    </w:p>
    <w:p>
      <w:pPr>
        <w:numPr>
          <w:ilvl w:val="0"/>
          <w:numId w:val="0"/>
        </w:num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4.评价指标体系</w:t>
      </w:r>
    </w:p>
    <w:p>
      <w:pPr>
        <w:numPr>
          <w:ilvl w:val="0"/>
          <w:numId w:val="0"/>
        </w:numPr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2025年南京市公安局交通管理局部门整体绩效评价指标体系共设计5个一级指标，14个二级指标，39个三级指标。详见附件。</w:t>
      </w:r>
    </w:p>
    <w:p>
      <w:pPr>
        <w:keepNext/>
        <w:keepLines/>
        <w:autoSpaceDE w:val="0"/>
        <w:autoSpaceDN w:val="0"/>
        <w:spacing w:line="560" w:lineRule="exact"/>
        <w:ind w:firstLine="640" w:firstLineChars="200"/>
        <w:jc w:val="left"/>
        <w:outlineLvl w:val="1"/>
        <w:rPr>
          <w:rFonts w:hint="eastAsia" w:ascii="方正仿宋_GBK" w:hAnsi="方正仿宋_GBK" w:eastAsia="方正仿宋_GBK" w:cs="方正仿宋_GBK"/>
          <w:bCs/>
          <w:kern w:val="0"/>
          <w:sz w:val="32"/>
          <w:szCs w:val="32"/>
          <w:lang w:val="en-US" w:bidi="zh-CN"/>
        </w:rPr>
      </w:pPr>
      <w:r>
        <w:rPr>
          <w:rFonts w:hint="eastAsia" w:ascii="方正仿宋_GBK" w:hAnsi="方正仿宋_GBK" w:eastAsia="方正仿宋_GBK" w:cs="方正仿宋_GBK"/>
          <w:bCs/>
          <w:kern w:val="0"/>
          <w:sz w:val="32"/>
          <w:szCs w:val="32"/>
          <w:lang w:val="zh-CN" w:bidi="zh-CN"/>
        </w:rPr>
        <w:t>（</w:t>
      </w:r>
      <w:r>
        <w:rPr>
          <w:rFonts w:hint="eastAsia" w:ascii="方正仿宋_GBK" w:hAnsi="方正仿宋_GBK" w:eastAsia="方正仿宋_GBK" w:cs="方正仿宋_GBK"/>
          <w:bCs/>
          <w:kern w:val="0"/>
          <w:sz w:val="32"/>
          <w:szCs w:val="32"/>
          <w:lang w:val="en-US" w:bidi="zh-CN"/>
        </w:rPr>
        <w:t>二</w:t>
      </w:r>
      <w:r>
        <w:rPr>
          <w:rFonts w:hint="eastAsia" w:ascii="方正仿宋_GBK" w:hAnsi="方正仿宋_GBK" w:eastAsia="方正仿宋_GBK" w:cs="方正仿宋_GBK"/>
          <w:bCs/>
          <w:kern w:val="0"/>
          <w:sz w:val="32"/>
          <w:szCs w:val="32"/>
          <w:lang w:val="zh-CN" w:bidi="zh-CN"/>
        </w:rPr>
        <w:t>）</w:t>
      </w:r>
      <w:r>
        <w:rPr>
          <w:rFonts w:hint="eastAsia" w:ascii="方正仿宋_GBK" w:hAnsi="方正仿宋_GBK" w:eastAsia="方正仿宋_GBK" w:cs="方正仿宋_GBK"/>
          <w:bCs/>
          <w:kern w:val="0"/>
          <w:sz w:val="32"/>
          <w:szCs w:val="32"/>
          <w:lang w:val="en-US" w:bidi="zh-CN"/>
        </w:rPr>
        <w:t>其他需要说明的情况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无。</w:t>
      </w:r>
    </w:p>
    <w:p>
      <w:pPr>
        <w:rPr>
          <w:rFonts w:ascii="Times New Roman" w:hAnsi="Times New Roman" w:eastAsia="方正仿宋_GBK" w:cs="Times New Roman"/>
          <w:kern w:val="0"/>
          <w:sz w:val="32"/>
          <w:szCs w:val="32"/>
        </w:rPr>
      </w:pPr>
    </w:p>
    <w:p>
      <w:pPr/>
      <w:r>
        <w:rPr>
          <w:rFonts w:ascii="Times New Roman" w:hAnsi="Times New Roman" w:eastAsia="方正仿宋_GBK" w:cs="Times New Roman"/>
          <w:kern w:val="0"/>
          <w:sz w:val="32"/>
          <w:szCs w:val="32"/>
        </w:rPr>
        <w:t>附件：南京市公安局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交通管理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局部门整体绩效评价指标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体系</w:t>
      </w:r>
      <w:r>
        <w:br w:type="page"/>
      </w:r>
    </w:p>
    <w:p>
      <w:pPr>
        <w:pStyle w:val="4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20"/>
        <w:spacing w:after="192" w:afterLines="80" w:line="400" w:lineRule="exact"/>
        <w:ind w:firstLine="0" w:firstLineChars="0"/>
        <w:jc w:val="center"/>
        <w:rPr>
          <w:rFonts w:ascii="方正小标宋简体" w:hAnsi="黑体" w:eastAsia="方正小标宋简体"/>
          <w:color w:val="000000" w:themeColor="text1"/>
          <w:sz w:val="36"/>
          <w:szCs w:val="36"/>
          <w:lang w:val="en-US"/>
        </w:rPr>
      </w:pPr>
      <w:r>
        <w:rPr>
          <w:rFonts w:hint="eastAsia" w:ascii="方正小标宋_GBK" w:hAnsi="方正小标宋_GBK" w:eastAsia="方正小标宋_GBK" w:cs="方正小标宋_GBK"/>
          <w:szCs w:val="32"/>
        </w:rPr>
        <w:t>南京市</w:t>
      </w:r>
      <w:r>
        <w:rPr>
          <w:rFonts w:hint="eastAsia" w:ascii="方正小标宋_GBK" w:hAnsi="方正小标宋_GBK" w:eastAsia="方正小标宋_GBK" w:cs="方正小标宋_GBK"/>
          <w:szCs w:val="32"/>
          <w:lang w:val="en-US" w:eastAsia="zh-CN"/>
        </w:rPr>
        <w:t>公安局交通管理局部门整体绩效评价指标体系</w:t>
      </w:r>
    </w:p>
    <w:tbl>
      <w:tblPr>
        <w:tblStyle w:val="17"/>
        <w:tblW w:w="1068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625"/>
        <w:gridCol w:w="705"/>
        <w:gridCol w:w="1154"/>
        <w:gridCol w:w="741"/>
        <w:gridCol w:w="2626"/>
        <w:gridCol w:w="2786"/>
        <w:gridCol w:w="602"/>
        <w:gridCol w:w="5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98" w:type="dxa"/>
            <w:shd w:val="clear" w:color="000000" w:fill="D9D9D9"/>
            <w:vAlign w:val="center"/>
          </w:tcPr>
          <w:p>
            <w:pPr>
              <w:jc w:val="center"/>
              <w:rPr>
                <w:rFonts w:ascii="仿宋_GB2312" w:hAnsi="宋体" w:eastAsia="仿宋_GB2312" w:cs="Arial"/>
                <w:b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0"/>
              </w:rPr>
              <w:t>一级</w:t>
            </w:r>
          </w:p>
          <w:p>
            <w:pPr>
              <w:jc w:val="center"/>
              <w:rPr>
                <w:rFonts w:ascii="仿宋_GB2312" w:hAnsi="宋体" w:eastAsia="仿宋_GB2312" w:cs="Arial"/>
                <w:b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0"/>
              </w:rPr>
              <w:t>指标</w:t>
            </w:r>
          </w:p>
        </w:tc>
        <w:tc>
          <w:tcPr>
            <w:tcW w:w="1330" w:type="dxa"/>
            <w:gridSpan w:val="2"/>
            <w:shd w:val="clear" w:color="000000" w:fill="D9D9D9"/>
            <w:vAlign w:val="center"/>
          </w:tcPr>
          <w:p>
            <w:pPr>
              <w:jc w:val="center"/>
              <w:rPr>
                <w:rFonts w:ascii="仿宋_GB2312" w:hAnsi="宋体" w:eastAsia="仿宋_GB2312" w:cs="Arial"/>
                <w:b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0"/>
              </w:rPr>
              <w:t>二级</w:t>
            </w:r>
          </w:p>
          <w:p>
            <w:pPr>
              <w:jc w:val="center"/>
              <w:rPr>
                <w:rFonts w:ascii="仿宋_GB2312" w:hAnsi="宋体" w:eastAsia="仿宋_GB2312" w:cs="Arial"/>
                <w:b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0"/>
              </w:rPr>
              <w:t>指标</w:t>
            </w:r>
          </w:p>
        </w:tc>
        <w:tc>
          <w:tcPr>
            <w:tcW w:w="1154" w:type="dxa"/>
            <w:shd w:val="clear" w:color="000000" w:fill="D9D9D9"/>
            <w:vAlign w:val="center"/>
          </w:tcPr>
          <w:p>
            <w:pPr>
              <w:jc w:val="center"/>
              <w:rPr>
                <w:rFonts w:ascii="仿宋_GB2312" w:hAnsi="宋体" w:eastAsia="仿宋_GB2312" w:cs="Arial"/>
                <w:b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0"/>
              </w:rPr>
              <w:t>三级</w:t>
            </w:r>
          </w:p>
          <w:p>
            <w:pPr>
              <w:jc w:val="center"/>
              <w:rPr>
                <w:rFonts w:ascii="仿宋_GB2312" w:hAnsi="宋体" w:eastAsia="仿宋_GB2312" w:cs="Arial"/>
                <w:b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0"/>
              </w:rPr>
              <w:t>指标</w:t>
            </w:r>
          </w:p>
        </w:tc>
        <w:tc>
          <w:tcPr>
            <w:tcW w:w="741" w:type="dxa"/>
            <w:shd w:val="clear" w:color="000000" w:fill="D9D9D9"/>
            <w:vAlign w:val="center"/>
          </w:tcPr>
          <w:p>
            <w:pPr>
              <w:jc w:val="center"/>
              <w:rPr>
                <w:rFonts w:ascii="仿宋_GB2312" w:hAnsi="宋体" w:eastAsia="仿宋_GB2312" w:cs="Arial"/>
                <w:b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0"/>
              </w:rPr>
              <w:t>标准值</w:t>
            </w:r>
          </w:p>
        </w:tc>
        <w:tc>
          <w:tcPr>
            <w:tcW w:w="2626" w:type="dxa"/>
            <w:shd w:val="clear" w:color="000000" w:fill="D9D9D9"/>
            <w:vAlign w:val="center"/>
          </w:tcPr>
          <w:p>
            <w:pPr>
              <w:jc w:val="center"/>
              <w:rPr>
                <w:rFonts w:ascii="仿宋_GB2312" w:hAnsi="宋体" w:eastAsia="仿宋_GB2312" w:cs="Arial"/>
                <w:b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0"/>
              </w:rPr>
              <w:t>评分标准</w:t>
            </w:r>
          </w:p>
        </w:tc>
        <w:tc>
          <w:tcPr>
            <w:tcW w:w="2786" w:type="dxa"/>
            <w:shd w:val="clear" w:color="000000" w:fill="D9D9D9"/>
            <w:vAlign w:val="center"/>
          </w:tcPr>
          <w:p>
            <w:pPr>
              <w:jc w:val="center"/>
              <w:rPr>
                <w:rFonts w:ascii="仿宋_GB2312" w:hAnsi="宋体" w:eastAsia="仿宋_GB2312" w:cs="Arial"/>
                <w:b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0"/>
              </w:rPr>
              <w:t>评分过程</w:t>
            </w:r>
          </w:p>
        </w:tc>
        <w:tc>
          <w:tcPr>
            <w:tcW w:w="602" w:type="dxa"/>
            <w:shd w:val="clear" w:color="000000" w:fill="D9D9D9"/>
            <w:vAlign w:val="center"/>
          </w:tcPr>
          <w:p>
            <w:pPr>
              <w:jc w:val="center"/>
              <w:rPr>
                <w:rFonts w:ascii="仿宋_GB2312" w:hAnsi="宋体" w:eastAsia="仿宋_GB2312" w:cs="Arial"/>
                <w:b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0"/>
              </w:rPr>
              <w:t>权重</w:t>
            </w:r>
          </w:p>
        </w:tc>
        <w:tc>
          <w:tcPr>
            <w:tcW w:w="545" w:type="dxa"/>
            <w:shd w:val="clear" w:color="000000" w:fill="D9D9D9"/>
            <w:vAlign w:val="center"/>
          </w:tcPr>
          <w:p>
            <w:pPr>
              <w:jc w:val="center"/>
              <w:rPr>
                <w:rFonts w:ascii="仿宋_GB2312" w:hAnsi="宋体" w:eastAsia="仿宋_GB2312" w:cs="Arial"/>
                <w:b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0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898" w:type="dxa"/>
            <w:vMerge w:val="restart"/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决策</w:t>
            </w:r>
          </w:p>
        </w:tc>
        <w:tc>
          <w:tcPr>
            <w:tcW w:w="1330" w:type="dxa"/>
            <w:gridSpan w:val="2"/>
            <w:vMerge w:val="restart"/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计划制定</w:t>
            </w:r>
          </w:p>
        </w:tc>
        <w:tc>
          <w:tcPr>
            <w:tcW w:w="1154" w:type="dxa"/>
            <w:vAlign w:val="center"/>
          </w:tcPr>
          <w:p>
            <w:pPr>
              <w:spacing w:line="226" w:lineRule="exact"/>
              <w:jc w:val="both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中长期规划制定健全性</w:t>
            </w:r>
          </w:p>
        </w:tc>
        <w:tc>
          <w:tcPr>
            <w:tcW w:w="741" w:type="dxa"/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健全</w:t>
            </w:r>
          </w:p>
        </w:tc>
        <w:tc>
          <w:tcPr>
            <w:tcW w:w="2626" w:type="dxa"/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单位中长期规划是否明确（1分），科学（1分）</w:t>
            </w:r>
          </w:p>
        </w:tc>
        <w:tc>
          <w:tcPr>
            <w:tcW w:w="2786" w:type="dxa"/>
            <w:vAlign w:val="center"/>
          </w:tcPr>
          <w:p>
            <w:pPr>
              <w:spacing w:line="226" w:lineRule="exact"/>
              <w:ind w:firstLine="400" w:firstLineChars="200"/>
              <w:jc w:val="lef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单位中长期规划明确、科学，得2分</w:t>
            </w:r>
          </w:p>
        </w:tc>
        <w:tc>
          <w:tcPr>
            <w:tcW w:w="602" w:type="dxa"/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2</w:t>
            </w:r>
          </w:p>
        </w:tc>
        <w:tc>
          <w:tcPr>
            <w:tcW w:w="545" w:type="dxa"/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898" w:type="dxa"/>
            <w:vMerge w:val="continue"/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330" w:type="dxa"/>
            <w:gridSpan w:val="2"/>
            <w:vMerge w:val="continue"/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154" w:type="dxa"/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工作计划制定健全性</w:t>
            </w:r>
          </w:p>
        </w:tc>
        <w:tc>
          <w:tcPr>
            <w:tcW w:w="741" w:type="dxa"/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健全</w:t>
            </w:r>
          </w:p>
        </w:tc>
        <w:tc>
          <w:tcPr>
            <w:tcW w:w="2626" w:type="dxa"/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单位年度工作计划的制定是否明确（1分），科学（1分）</w:t>
            </w:r>
          </w:p>
        </w:tc>
        <w:tc>
          <w:tcPr>
            <w:tcW w:w="2786" w:type="dxa"/>
            <w:vAlign w:val="center"/>
          </w:tcPr>
          <w:p>
            <w:pPr>
              <w:spacing w:line="226" w:lineRule="exact"/>
              <w:ind w:firstLine="400" w:firstLineChars="200"/>
              <w:jc w:val="lef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已制定科学明确的年度工作计划，有年度工作要点，得2分</w:t>
            </w:r>
          </w:p>
        </w:tc>
        <w:tc>
          <w:tcPr>
            <w:tcW w:w="602" w:type="dxa"/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2</w:t>
            </w:r>
          </w:p>
        </w:tc>
        <w:tc>
          <w:tcPr>
            <w:tcW w:w="545" w:type="dxa"/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898" w:type="dxa"/>
            <w:vMerge w:val="continue"/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330" w:type="dxa"/>
            <w:gridSpan w:val="2"/>
            <w:vMerge w:val="restart"/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目标设定</w:t>
            </w:r>
          </w:p>
        </w:tc>
        <w:tc>
          <w:tcPr>
            <w:tcW w:w="1154" w:type="dxa"/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绩效目标合理性</w:t>
            </w:r>
          </w:p>
        </w:tc>
        <w:tc>
          <w:tcPr>
            <w:tcW w:w="741" w:type="dxa"/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合理</w:t>
            </w:r>
          </w:p>
        </w:tc>
        <w:tc>
          <w:tcPr>
            <w:tcW w:w="2626" w:type="dxa"/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绩效目标与实际工作内容是否具有相关性（1分），绩效目标是否合理（1分）</w:t>
            </w:r>
          </w:p>
        </w:tc>
        <w:tc>
          <w:tcPr>
            <w:tcW w:w="2786" w:type="dxa"/>
            <w:vAlign w:val="center"/>
          </w:tcPr>
          <w:p>
            <w:pPr>
              <w:spacing w:line="226" w:lineRule="exact"/>
              <w:ind w:firstLine="400" w:firstLineChars="200"/>
              <w:jc w:val="lef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绩效目标与实际工作内容相关，设置合理，得2分</w:t>
            </w:r>
          </w:p>
        </w:tc>
        <w:tc>
          <w:tcPr>
            <w:tcW w:w="602" w:type="dxa"/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2</w:t>
            </w:r>
          </w:p>
        </w:tc>
        <w:tc>
          <w:tcPr>
            <w:tcW w:w="545" w:type="dxa"/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898" w:type="dxa"/>
            <w:vMerge w:val="continue"/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330" w:type="dxa"/>
            <w:gridSpan w:val="2"/>
            <w:vMerge w:val="continue"/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154" w:type="dxa"/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绩效指标明确性</w:t>
            </w:r>
          </w:p>
        </w:tc>
        <w:tc>
          <w:tcPr>
            <w:tcW w:w="741" w:type="dxa"/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明确</w:t>
            </w:r>
          </w:p>
        </w:tc>
        <w:tc>
          <w:tcPr>
            <w:tcW w:w="2626" w:type="dxa"/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eastAsia="zh-CN"/>
              </w:rPr>
              <w:t>是否细化分解为具体明确的（1分），指标值是否清晰、可衡量（1分）</w:t>
            </w:r>
          </w:p>
        </w:tc>
        <w:tc>
          <w:tcPr>
            <w:tcW w:w="2786" w:type="dxa"/>
            <w:vAlign w:val="center"/>
          </w:tcPr>
          <w:p>
            <w:pPr>
              <w:spacing w:line="226" w:lineRule="exact"/>
              <w:ind w:firstLine="400" w:firstLineChars="200"/>
              <w:jc w:val="lef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绩效指标明确，清晰、可衡量，得2分</w:t>
            </w:r>
          </w:p>
        </w:tc>
        <w:tc>
          <w:tcPr>
            <w:tcW w:w="602" w:type="dxa"/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2</w:t>
            </w:r>
          </w:p>
        </w:tc>
        <w:tc>
          <w:tcPr>
            <w:tcW w:w="545" w:type="dxa"/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98" w:type="dxa"/>
            <w:vMerge w:val="continue"/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33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预算编制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预算编制科学性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科学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预算编制是否经过科学论证（1分），预算额度测算依据是否充分，是否按照标准编制（1分）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ind w:firstLine="400" w:firstLineChars="200"/>
              <w:jc w:val="lef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预算编制,经过科学论证，预算额度测算依据充分，按照标准编制，得2分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2</w:t>
            </w: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98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33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预算编制规范性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规范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项目是否按照程序规范申请设立（1分），事前是否已经过必要的可行性研究、评估（1分）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ind w:firstLine="400" w:firstLineChars="200"/>
              <w:jc w:val="lef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项目按照程序规范设立，事前已经过必要的可行性研究、评估，得2分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2</w:t>
            </w: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过程</w:t>
            </w:r>
          </w:p>
        </w:tc>
        <w:tc>
          <w:tcPr>
            <w:tcW w:w="133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预算执行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预算调整率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＝0%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预算过程中是否中途变更调整，调整手续是否完备合规（2分）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ind w:firstLine="400" w:firstLineChars="200"/>
              <w:jc w:val="lef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预算过程中未申请变更调整，得2分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2</w:t>
            </w: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8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33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支付进度符合率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＝</w:t>
            </w: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10</w:t>
            </w:r>
            <w:r>
              <w:rPr>
                <w:rFonts w:hint="eastAsia" w:ascii="仿宋_GB2312" w:hAnsi="宋体" w:eastAsia="仿宋_GB2312" w:cs="Arial"/>
                <w:bCs/>
                <w:sz w:val="20"/>
              </w:rPr>
              <w:t>0%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是否符合预算批复或合同规定的用途（2分）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ind w:firstLine="400" w:firstLineChars="200"/>
              <w:jc w:val="lef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支付中不存在截留、挤占、挪用等情况，得2分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2</w:t>
            </w: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8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33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预算执行率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＝</w:t>
            </w: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10</w:t>
            </w:r>
            <w:r>
              <w:rPr>
                <w:rFonts w:hint="eastAsia" w:ascii="仿宋_GB2312" w:hAnsi="宋体" w:eastAsia="仿宋_GB2312" w:cs="Arial"/>
                <w:bCs/>
                <w:sz w:val="20"/>
              </w:rPr>
              <w:t>0%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单位预算支出的预算执行情况（3分）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ind w:firstLine="400" w:firstLineChars="200"/>
              <w:jc w:val="lef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按单位预算实际执行率计算，未执行完毕，扣1分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3</w:t>
            </w: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8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33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结转结余率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＝0%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未执行完毕的财政拨款是否结转下年（2分）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ind w:firstLine="400" w:firstLineChars="200"/>
              <w:jc w:val="lef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未执行完毕的财政拨款均由财政收回，得2分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2</w:t>
            </w: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8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33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公用经费控制率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≤100%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单位对公用经费的控制程度（预、决算比率≦100%，2分）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ind w:firstLine="400" w:firstLineChars="200"/>
              <w:jc w:val="lef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公用经费，控制在标准范围内，得2分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2</w:t>
            </w: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default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8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33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“三公经费”变动率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≤0%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单位“三公经费”变动情况，若不变动则不扣分（2分）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ind w:firstLine="400" w:firstLineChars="200"/>
              <w:jc w:val="lef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“三公经费”未变动，得2分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2</w:t>
            </w: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default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8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33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政府采购执行率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＝</w:t>
            </w: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10</w:t>
            </w:r>
            <w:r>
              <w:rPr>
                <w:rFonts w:hint="eastAsia" w:ascii="仿宋_GB2312" w:hAnsi="宋体" w:eastAsia="仿宋_GB2312" w:cs="Arial"/>
                <w:bCs/>
                <w:sz w:val="20"/>
              </w:rPr>
              <w:t>0%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纳入政府采购的资金能否按时执行（2分）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ind w:firstLine="400" w:firstLineChars="200"/>
              <w:jc w:val="lef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政府采购资金按时执行完毕，得2分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2</w:t>
            </w: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default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8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33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非税收入预算完成率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≥100%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非税收入能否完成预算目标（2分）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ind w:firstLine="400" w:firstLineChars="200"/>
              <w:jc w:val="lef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非税收入完成预算目标，得2分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2</w:t>
            </w: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default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33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预算管理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预算管理制度健全性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健全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单位是否建立有健全完备的预算管理制度（3分）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ind w:firstLine="400" w:firstLineChars="200"/>
              <w:jc w:val="lef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建立完善健全的预算管理制度，得3分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3</w:t>
            </w: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33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资金使用合规性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合规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是否严格按照制度执行资金管理各项工作（3分）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ind w:firstLine="400" w:firstLineChars="200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严格按照制度执行资金管理，资金使用合规，得3分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3</w:t>
            </w: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8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33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绩效管理覆盖率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＝</w:t>
            </w: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10</w:t>
            </w:r>
            <w:r>
              <w:rPr>
                <w:rFonts w:hint="eastAsia" w:ascii="仿宋_GB2312" w:hAnsi="宋体" w:eastAsia="仿宋_GB2312" w:cs="Arial"/>
                <w:bCs/>
                <w:sz w:val="20"/>
              </w:rPr>
              <w:t>0%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单位预算绩效管理是否全覆盖（2分）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ind w:firstLine="400" w:firstLineChars="200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本单位预算绩效管理已全覆盖，得2分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2</w:t>
            </w: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8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33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基础信息完善性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完善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预算管理基础信息是否完善（2分）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ind w:firstLine="400" w:firstLineChars="200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本单位预算管理基础信息完善，得2分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2</w:t>
            </w: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8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33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预决算信息公开度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公开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预决算是否在“双平台”进行公开（1分），内容和时限是否符合要求（2分）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ind w:firstLine="400" w:firstLineChars="200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预决算工作已按规定及时进行公开，得3分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3</w:t>
            </w: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8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33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非税收入管理合规性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合规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本单位非税收入管理是否合规（2分）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ind w:firstLine="400" w:firstLineChars="200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本单位非税收入管理合规，得2分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2</w:t>
            </w: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8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33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资产管理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资产管理制度健全性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健全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单位是否建立有健全完备的资产管理制度（3分）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ind w:firstLine="400" w:firstLineChars="200"/>
              <w:jc w:val="lef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建立完善健全的资产管理制度，得3分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3</w:t>
            </w: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8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33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资产管理规范性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规范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单位资产管理制度执行是否规范、有效（3分）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ind w:firstLine="400" w:firstLineChars="200"/>
              <w:jc w:val="lef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单位资产管理制度执行规范、有效，得3分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3</w:t>
            </w: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8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33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固定资产利用率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＝</w:t>
            </w: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10</w:t>
            </w:r>
            <w:r>
              <w:rPr>
                <w:rFonts w:hint="eastAsia" w:ascii="仿宋_GB2312" w:hAnsi="宋体" w:eastAsia="仿宋_GB2312" w:cs="Arial"/>
                <w:bCs/>
                <w:sz w:val="20"/>
              </w:rPr>
              <w:t>0%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固定资产是否完全利用，未闲置（2分）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ind w:firstLine="400" w:firstLineChars="200"/>
              <w:jc w:val="lef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本单位固定资产定期盘点，充分利用，并纳入公物仓统筹管理，得2分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2</w:t>
            </w: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8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33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default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项目管理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项目管理制度健全性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健全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单位是否建立有健全完备的项目管理制度（3分）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ind w:firstLine="400" w:firstLineChars="200"/>
              <w:jc w:val="lef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建立完善健全的项目管理制度，得3分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3</w:t>
            </w: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8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33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项目管理制度执行规范性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规范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单位项目管理制度执行是否规范、有效（3分）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ind w:firstLine="400" w:firstLineChars="200"/>
              <w:jc w:val="lef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单位项目管理制度执行规范、有效，得3分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3</w:t>
            </w: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33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人员管理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人员管理制度健全性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健全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单位是否建立有健全完备的人事管理制度（2分）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ind w:firstLine="400" w:firstLineChars="200"/>
              <w:jc w:val="lef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建立完善健全的人事管理制度，得2分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2</w:t>
            </w: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33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人员管理制度执行有效性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有效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单位人员管理制度执行是否规范、有效（2分）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ind w:firstLine="400" w:firstLineChars="200"/>
              <w:jc w:val="lef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单位人员管理制度执行规范、有效，得2分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2</w:t>
            </w: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33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在职人员控制率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＝</w:t>
            </w: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10</w:t>
            </w:r>
            <w:r>
              <w:rPr>
                <w:rFonts w:hint="eastAsia" w:ascii="仿宋_GB2312" w:hAnsi="宋体" w:eastAsia="仿宋_GB2312" w:cs="Arial"/>
                <w:bCs/>
                <w:sz w:val="20"/>
              </w:rPr>
              <w:t>0%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单位在职人数与核编人数是否匹配（2分）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ind w:firstLine="400" w:firstLineChars="200"/>
              <w:jc w:val="lef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单位在职人数与核编人数匹配，得2分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2</w:t>
            </w: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8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33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default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机构建设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组织建设工作及时完成率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＝</w:t>
            </w: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10</w:t>
            </w:r>
            <w:r>
              <w:rPr>
                <w:rFonts w:hint="eastAsia" w:ascii="仿宋_GB2312" w:hAnsi="宋体" w:eastAsia="仿宋_GB2312" w:cs="Arial"/>
                <w:bCs/>
                <w:sz w:val="20"/>
              </w:rPr>
              <w:t>0%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组织建设工作是否及时完成（2分）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ind w:firstLine="400" w:firstLineChars="200"/>
              <w:jc w:val="lef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组织建设工作能够及时完成，得2分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2</w:t>
            </w: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33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业务学习与培训及时完成率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＝</w:t>
            </w: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10</w:t>
            </w:r>
            <w:r>
              <w:rPr>
                <w:rFonts w:hint="eastAsia" w:ascii="仿宋_GB2312" w:hAnsi="宋体" w:eastAsia="仿宋_GB2312" w:cs="Arial"/>
                <w:bCs/>
                <w:sz w:val="20"/>
              </w:rPr>
              <w:t>0%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业务学习与培训是否及时完成（2分）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0"/>
              <w:spacing w:line="226" w:lineRule="exact"/>
              <w:ind w:firstLine="400" w:firstLineChars="200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业务学习与培训及时完成率，得2分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default" w:ascii="仿宋_GB2312" w:hAnsi="宋体" w:eastAsia="仿宋_GB2312" w:cs="Arial"/>
                <w:bCs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2</w:t>
            </w: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default" w:ascii="仿宋_GB2312" w:hAnsi="宋体" w:eastAsia="仿宋_GB2312" w:cs="Arial"/>
                <w:bCs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33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纪检监察工作有效性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有效</w:t>
            </w:r>
          </w:p>
        </w:tc>
        <w:tc>
          <w:tcPr>
            <w:tcW w:w="2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本单位纪检监察工作是否有效（2分）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0"/>
              <w:spacing w:line="226" w:lineRule="exact"/>
              <w:ind w:firstLine="400" w:firstLineChars="200"/>
              <w:rPr>
                <w:rFonts w:hint="eastAsia" w:ascii="仿宋_GB2312" w:hAnsi="宋体" w:eastAsia="仿宋_GB2312" w:cs="Arial"/>
                <w:bCs/>
                <w:sz w:val="20"/>
                <w:lang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本单位纪检监察工作高效有序进行，得2分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default" w:ascii="仿宋_GB2312" w:hAnsi="宋体" w:eastAsia="仿宋_GB2312" w:cs="Arial"/>
                <w:bCs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2</w:t>
            </w: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6" w:lineRule="exact"/>
              <w:jc w:val="center"/>
              <w:rPr>
                <w:rFonts w:hint="default" w:ascii="仿宋_GB2312" w:hAnsi="宋体" w:eastAsia="仿宋_GB2312" w:cs="Arial"/>
                <w:bCs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7" w:hRule="atLeast"/>
          <w:jc w:val="center"/>
        </w:trPr>
        <w:tc>
          <w:tcPr>
            <w:tcW w:w="898" w:type="dxa"/>
            <w:vMerge w:val="restart"/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</w:rPr>
            </w:pPr>
            <w:r>
              <w:rPr>
                <w:rFonts w:hint="eastAsia" w:ascii="仿宋_GB2312" w:hAnsi="宋体" w:eastAsia="仿宋_GB2312" w:cs="Arial"/>
                <w:bCs/>
              </w:rPr>
              <w:t>履职</w:t>
            </w:r>
          </w:p>
        </w:tc>
        <w:tc>
          <w:tcPr>
            <w:tcW w:w="625" w:type="dxa"/>
            <w:vMerge w:val="restart"/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夯实交通治理基础性工程</w:t>
            </w:r>
          </w:p>
        </w:tc>
        <w:tc>
          <w:tcPr>
            <w:tcW w:w="705" w:type="dxa"/>
            <w:vMerge w:val="restart"/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加强电子警察建设及维护、全市各类车辆管理工作</w:t>
            </w:r>
          </w:p>
        </w:tc>
        <w:tc>
          <w:tcPr>
            <w:tcW w:w="1154" w:type="dxa"/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电子警察建设完善性</w:t>
            </w:r>
          </w:p>
        </w:tc>
        <w:tc>
          <w:tcPr>
            <w:tcW w:w="741" w:type="dxa"/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完善</w:t>
            </w:r>
          </w:p>
        </w:tc>
        <w:tc>
          <w:tcPr>
            <w:tcW w:w="2626" w:type="dxa"/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是否达到预期效果（</w:t>
            </w: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 w:cs="Arial"/>
                <w:bCs/>
                <w:sz w:val="20"/>
              </w:rPr>
              <w:t>分）</w:t>
            </w:r>
          </w:p>
        </w:tc>
        <w:tc>
          <w:tcPr>
            <w:tcW w:w="2786" w:type="dxa"/>
            <w:vAlign w:val="center"/>
          </w:tcPr>
          <w:p>
            <w:pPr>
              <w:pStyle w:val="20"/>
              <w:spacing w:line="226" w:lineRule="exact"/>
              <w:ind w:firstLine="400" w:firstLineChars="200"/>
              <w:rPr>
                <w:rFonts w:hint="eastAsia" w:ascii="仿宋_GB2312" w:hAnsi="宋体" w:eastAsia="仿宋_GB2312" w:cs="Arial"/>
                <w:bCs/>
                <w:sz w:val="20"/>
                <w:lang w:val="zh-CN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已达到预期效果，得</w:t>
            </w: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 w:cs="Arial"/>
                <w:bCs/>
                <w:sz w:val="20"/>
              </w:rPr>
              <w:t>分</w:t>
            </w:r>
          </w:p>
        </w:tc>
        <w:tc>
          <w:tcPr>
            <w:tcW w:w="602" w:type="dxa"/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3</w:t>
            </w:r>
          </w:p>
        </w:tc>
        <w:tc>
          <w:tcPr>
            <w:tcW w:w="545" w:type="dxa"/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8" w:hRule="atLeast"/>
          <w:jc w:val="center"/>
        </w:trPr>
        <w:tc>
          <w:tcPr>
            <w:tcW w:w="898" w:type="dxa"/>
            <w:vMerge w:val="continue"/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</w:rPr>
            </w:pPr>
          </w:p>
        </w:tc>
        <w:tc>
          <w:tcPr>
            <w:tcW w:w="625" w:type="dxa"/>
            <w:vMerge w:val="continue"/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705" w:type="dxa"/>
            <w:vMerge w:val="continue"/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154" w:type="dxa"/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全市各类车辆管理成效</w:t>
            </w:r>
          </w:p>
        </w:tc>
        <w:tc>
          <w:tcPr>
            <w:tcW w:w="741" w:type="dxa"/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好</w:t>
            </w:r>
          </w:p>
        </w:tc>
        <w:tc>
          <w:tcPr>
            <w:tcW w:w="2626" w:type="dxa"/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是否达到预期效果（3分）</w:t>
            </w:r>
          </w:p>
        </w:tc>
        <w:tc>
          <w:tcPr>
            <w:tcW w:w="2786" w:type="dxa"/>
            <w:vAlign w:val="center"/>
          </w:tcPr>
          <w:p>
            <w:pPr>
              <w:spacing w:line="226" w:lineRule="exact"/>
              <w:ind w:firstLine="400" w:firstLineChars="200"/>
              <w:jc w:val="both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已达到预期效果，得3分</w:t>
            </w:r>
          </w:p>
        </w:tc>
        <w:tc>
          <w:tcPr>
            <w:tcW w:w="602" w:type="dxa"/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3</w:t>
            </w:r>
          </w:p>
        </w:tc>
        <w:tc>
          <w:tcPr>
            <w:tcW w:w="545" w:type="dxa"/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7" w:hRule="atLeast"/>
          <w:jc w:val="center"/>
        </w:trPr>
        <w:tc>
          <w:tcPr>
            <w:tcW w:w="898" w:type="dxa"/>
            <w:vMerge w:val="continue"/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</w:rPr>
            </w:pPr>
          </w:p>
        </w:tc>
        <w:tc>
          <w:tcPr>
            <w:tcW w:w="625" w:type="dxa"/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完善精准高效交通情报指挥体系</w:t>
            </w:r>
          </w:p>
        </w:tc>
        <w:tc>
          <w:tcPr>
            <w:tcW w:w="705" w:type="dxa"/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完善交通</w:t>
            </w: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设施</w:t>
            </w:r>
            <w:r>
              <w:rPr>
                <w:rFonts w:hint="eastAsia" w:ascii="仿宋_GB2312" w:hAnsi="宋体" w:eastAsia="仿宋_GB2312" w:cs="Arial"/>
                <w:bCs/>
                <w:sz w:val="20"/>
              </w:rPr>
              <w:t>设备覆盖</w:t>
            </w:r>
          </w:p>
        </w:tc>
        <w:tc>
          <w:tcPr>
            <w:tcW w:w="1154" w:type="dxa"/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交通设施完善程度</w:t>
            </w:r>
          </w:p>
        </w:tc>
        <w:tc>
          <w:tcPr>
            <w:tcW w:w="741" w:type="dxa"/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完善</w:t>
            </w:r>
          </w:p>
        </w:tc>
        <w:tc>
          <w:tcPr>
            <w:tcW w:w="2626" w:type="dxa"/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是否达到预期效果（</w:t>
            </w: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 w:cs="Arial"/>
                <w:bCs/>
                <w:sz w:val="20"/>
              </w:rPr>
              <w:t>分）</w:t>
            </w:r>
          </w:p>
        </w:tc>
        <w:tc>
          <w:tcPr>
            <w:tcW w:w="2786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400" w:firstLineChars="200"/>
              <w:textAlignment w:val="auto"/>
              <w:rPr>
                <w:rFonts w:hint="eastAsia" w:ascii="仿宋_GB2312" w:hAnsi="宋体" w:eastAsia="方正仿宋_GBK" w:cs="Arial"/>
                <w:bCs/>
                <w:sz w:val="20"/>
                <w:lang w:eastAsia="zh-CN"/>
              </w:rPr>
            </w:pPr>
            <w:r>
              <w:rPr>
                <w:rFonts w:hint="eastAsia" w:ascii="仿宋_GB2312" w:hAnsi="宋体" w:eastAsia="仿宋_GB2312" w:cs="Arial"/>
                <w:bCs/>
                <w:kern w:val="2"/>
                <w:sz w:val="20"/>
                <w:szCs w:val="24"/>
                <w:lang w:val="en-US" w:eastAsia="zh-CN" w:bidi="ar-SA"/>
              </w:rPr>
              <w:t>已达到预期效果，但部分交通设施老化严重，酌情扣1分，得2分</w:t>
            </w:r>
          </w:p>
        </w:tc>
        <w:tc>
          <w:tcPr>
            <w:tcW w:w="602" w:type="dxa"/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3</w:t>
            </w:r>
          </w:p>
        </w:tc>
        <w:tc>
          <w:tcPr>
            <w:tcW w:w="545" w:type="dxa"/>
            <w:vAlign w:val="center"/>
          </w:tcPr>
          <w:p>
            <w:pPr>
              <w:spacing w:line="226" w:lineRule="exact"/>
              <w:jc w:val="center"/>
              <w:rPr>
                <w:rFonts w:hint="default" w:ascii="仿宋_GB2312" w:hAnsi="宋体" w:eastAsia="仿宋_GB2312" w:cs="Arial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0" w:hRule="atLeast"/>
          <w:jc w:val="center"/>
        </w:trPr>
        <w:tc>
          <w:tcPr>
            <w:tcW w:w="898" w:type="dxa"/>
            <w:vMerge w:val="continue"/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</w:rPr>
            </w:pPr>
          </w:p>
        </w:tc>
        <w:tc>
          <w:tcPr>
            <w:tcW w:w="625" w:type="dxa"/>
            <w:vMerge w:val="restart"/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提升现代交管核心警务能力</w:t>
            </w:r>
          </w:p>
        </w:tc>
        <w:tc>
          <w:tcPr>
            <w:tcW w:w="705" w:type="dxa"/>
            <w:vMerge w:val="restart"/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打造南京交管亮点工程、强化全市车驾管便民服务、加强全市驾驶员驾驶证管理工作</w:t>
            </w:r>
          </w:p>
        </w:tc>
        <w:tc>
          <w:tcPr>
            <w:tcW w:w="1154" w:type="dxa"/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全市车驾管便民服务完善度</w:t>
            </w:r>
          </w:p>
        </w:tc>
        <w:tc>
          <w:tcPr>
            <w:tcW w:w="741" w:type="dxa"/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完善</w:t>
            </w:r>
          </w:p>
        </w:tc>
        <w:tc>
          <w:tcPr>
            <w:tcW w:w="2626" w:type="dxa"/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是否达到预期标准（</w:t>
            </w: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 w:cs="Arial"/>
                <w:bCs/>
                <w:sz w:val="20"/>
              </w:rPr>
              <w:t>分）</w:t>
            </w:r>
          </w:p>
        </w:tc>
        <w:tc>
          <w:tcPr>
            <w:tcW w:w="2786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400" w:firstLineChars="200"/>
              <w:textAlignment w:val="auto"/>
              <w:rPr>
                <w:rFonts w:hint="eastAsia" w:ascii="仿宋_GB2312" w:hAnsi="宋体" w:eastAsia="仿宋_GB2312" w:cs="Arial"/>
                <w:bCs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Arial"/>
                <w:bCs/>
                <w:kern w:val="2"/>
                <w:sz w:val="20"/>
                <w:szCs w:val="24"/>
                <w:lang w:val="en-US" w:eastAsia="zh-CN" w:bidi="ar-SA"/>
              </w:rPr>
              <w:t>已达到预期标准，得3分</w:t>
            </w:r>
          </w:p>
        </w:tc>
        <w:tc>
          <w:tcPr>
            <w:tcW w:w="602" w:type="dxa"/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3</w:t>
            </w:r>
          </w:p>
        </w:tc>
        <w:tc>
          <w:tcPr>
            <w:tcW w:w="545" w:type="dxa"/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898" w:type="dxa"/>
            <w:vMerge w:val="continue"/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</w:rPr>
            </w:pPr>
          </w:p>
        </w:tc>
        <w:tc>
          <w:tcPr>
            <w:tcW w:w="625" w:type="dxa"/>
            <w:vMerge w:val="continue"/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705" w:type="dxa"/>
            <w:vMerge w:val="continue"/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154" w:type="dxa"/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全市驾驶员驾驶证管理工作成效</w:t>
            </w:r>
          </w:p>
        </w:tc>
        <w:tc>
          <w:tcPr>
            <w:tcW w:w="741" w:type="dxa"/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好</w:t>
            </w:r>
            <w:r>
              <w:rPr>
                <w:rFonts w:hint="eastAsia" w:ascii="仿宋_GB2312" w:hAnsi="宋体" w:eastAsia="仿宋_GB2312" w:cs="Arial"/>
                <w:bCs/>
                <w:sz w:val="20"/>
              </w:rPr>
              <w:t xml:space="preserve"> </w:t>
            </w:r>
          </w:p>
        </w:tc>
        <w:tc>
          <w:tcPr>
            <w:tcW w:w="2626" w:type="dxa"/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是否达到预期效果（</w:t>
            </w: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 w:cs="Arial"/>
                <w:bCs/>
                <w:sz w:val="20"/>
              </w:rPr>
              <w:t>分）</w:t>
            </w:r>
          </w:p>
        </w:tc>
        <w:tc>
          <w:tcPr>
            <w:tcW w:w="2786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400" w:firstLineChars="200"/>
              <w:textAlignment w:val="auto"/>
              <w:rPr>
                <w:rFonts w:hint="default" w:ascii="仿宋_GB2312" w:hAnsi="宋体" w:eastAsia="仿宋_GB2312" w:cs="Arial"/>
                <w:bCs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Arial"/>
                <w:bCs/>
                <w:kern w:val="2"/>
                <w:sz w:val="20"/>
                <w:szCs w:val="24"/>
                <w:lang w:val="en-US" w:eastAsia="zh-CN" w:bidi="ar-SA"/>
              </w:rPr>
              <w:t>已达到预期效果，得3分</w:t>
            </w:r>
          </w:p>
        </w:tc>
        <w:tc>
          <w:tcPr>
            <w:tcW w:w="602" w:type="dxa"/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3</w:t>
            </w:r>
          </w:p>
        </w:tc>
        <w:tc>
          <w:tcPr>
            <w:tcW w:w="545" w:type="dxa"/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898" w:type="dxa"/>
            <w:vMerge w:val="restart"/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</w:rPr>
            </w:pPr>
            <w:r>
              <w:rPr>
                <w:rFonts w:hint="eastAsia" w:ascii="仿宋_GB2312" w:hAnsi="宋体" w:eastAsia="仿宋_GB2312" w:cs="Arial"/>
                <w:bCs/>
              </w:rPr>
              <w:t>效益指标</w:t>
            </w:r>
          </w:p>
        </w:tc>
        <w:tc>
          <w:tcPr>
            <w:tcW w:w="1330" w:type="dxa"/>
            <w:gridSpan w:val="2"/>
            <w:vMerge w:val="restart"/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社会效益</w:t>
            </w:r>
          </w:p>
        </w:tc>
        <w:tc>
          <w:tcPr>
            <w:tcW w:w="1154" w:type="dxa"/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全年交通畅通率</w:t>
            </w:r>
          </w:p>
        </w:tc>
        <w:tc>
          <w:tcPr>
            <w:tcW w:w="741" w:type="dxa"/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较为畅通</w:t>
            </w:r>
          </w:p>
        </w:tc>
        <w:tc>
          <w:tcPr>
            <w:tcW w:w="2626" w:type="dxa"/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是否达到预期效果（</w:t>
            </w: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Arial"/>
                <w:bCs/>
                <w:sz w:val="20"/>
              </w:rPr>
              <w:t>分）</w:t>
            </w:r>
          </w:p>
        </w:tc>
        <w:tc>
          <w:tcPr>
            <w:tcW w:w="2786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400" w:firstLineChars="200"/>
              <w:textAlignment w:val="auto"/>
              <w:rPr>
                <w:rFonts w:hint="eastAsia" w:ascii="仿宋_GB2312" w:hAnsi="宋体" w:eastAsia="仿宋_GB2312" w:cs="Arial"/>
                <w:bCs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Arial"/>
                <w:bCs/>
                <w:kern w:val="2"/>
                <w:sz w:val="20"/>
                <w:szCs w:val="24"/>
                <w:lang w:val="en-US" w:eastAsia="zh-CN" w:bidi="ar-SA"/>
              </w:rPr>
              <w:t>已达到预期效果，得5分</w:t>
            </w:r>
          </w:p>
        </w:tc>
        <w:tc>
          <w:tcPr>
            <w:tcW w:w="602" w:type="dxa"/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5</w:t>
            </w:r>
          </w:p>
        </w:tc>
        <w:tc>
          <w:tcPr>
            <w:tcW w:w="545" w:type="dxa"/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898" w:type="dxa"/>
            <w:vMerge w:val="continue"/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</w:rPr>
            </w:pPr>
          </w:p>
        </w:tc>
        <w:tc>
          <w:tcPr>
            <w:tcW w:w="1330" w:type="dxa"/>
            <w:gridSpan w:val="2"/>
            <w:vMerge w:val="continue"/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</w:rPr>
            </w:pPr>
          </w:p>
        </w:tc>
        <w:tc>
          <w:tcPr>
            <w:tcW w:w="1154" w:type="dxa"/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交通事故结案率</w:t>
            </w:r>
          </w:p>
        </w:tc>
        <w:tc>
          <w:tcPr>
            <w:tcW w:w="741" w:type="dxa"/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=</w:t>
            </w:r>
            <w:r>
              <w:rPr>
                <w:rFonts w:hint="eastAsia" w:ascii="仿宋_GB2312" w:hAnsi="宋体" w:eastAsia="仿宋_GB2312" w:cs="Arial"/>
                <w:bCs/>
                <w:sz w:val="20"/>
              </w:rPr>
              <w:t>100%</w:t>
            </w:r>
          </w:p>
        </w:tc>
        <w:tc>
          <w:tcPr>
            <w:tcW w:w="2626" w:type="dxa"/>
            <w:vAlign w:val="center"/>
          </w:tcPr>
          <w:p>
            <w:pPr>
              <w:spacing w:line="226" w:lineRule="exact"/>
              <w:rPr>
                <w:rFonts w:hint="eastAsia"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是否达到预期标准（</w:t>
            </w: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Arial"/>
                <w:bCs/>
                <w:sz w:val="20"/>
              </w:rPr>
              <w:t>分）</w:t>
            </w:r>
          </w:p>
        </w:tc>
        <w:tc>
          <w:tcPr>
            <w:tcW w:w="2786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400" w:firstLineChars="200"/>
              <w:textAlignment w:val="auto"/>
              <w:rPr>
                <w:rFonts w:hint="eastAsia" w:ascii="仿宋_GB2312" w:hAnsi="宋体" w:eastAsia="仿宋_GB2312" w:cs="Arial"/>
                <w:bCs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Arial"/>
                <w:bCs/>
                <w:kern w:val="2"/>
                <w:sz w:val="20"/>
                <w:szCs w:val="24"/>
                <w:lang w:val="en-US" w:eastAsia="zh-CN" w:bidi="ar-SA"/>
              </w:rPr>
              <w:t>已达到预期标准，得5分</w:t>
            </w:r>
          </w:p>
        </w:tc>
        <w:tc>
          <w:tcPr>
            <w:tcW w:w="602" w:type="dxa"/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5</w:t>
            </w:r>
          </w:p>
        </w:tc>
        <w:tc>
          <w:tcPr>
            <w:tcW w:w="545" w:type="dxa"/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898" w:type="dxa"/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</w:rPr>
            </w:pPr>
            <w:r>
              <w:rPr>
                <w:rFonts w:hint="eastAsia" w:ascii="仿宋_GB2312" w:hAnsi="宋体" w:eastAsia="仿宋_GB2312" w:cs="Arial"/>
                <w:bCs/>
              </w:rPr>
              <w:t>满意度指标</w:t>
            </w:r>
          </w:p>
        </w:tc>
        <w:tc>
          <w:tcPr>
            <w:tcW w:w="1330" w:type="dxa"/>
            <w:gridSpan w:val="2"/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服务对象满意度</w:t>
            </w:r>
          </w:p>
        </w:tc>
        <w:tc>
          <w:tcPr>
            <w:tcW w:w="1154" w:type="dxa"/>
            <w:vAlign w:val="center"/>
          </w:tcPr>
          <w:p>
            <w:pPr>
              <w:spacing w:line="226" w:lineRule="exact"/>
              <w:rPr>
                <w:rFonts w:hint="default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群众满意度</w:t>
            </w:r>
          </w:p>
        </w:tc>
        <w:tc>
          <w:tcPr>
            <w:tcW w:w="741" w:type="dxa"/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满意</w:t>
            </w:r>
          </w:p>
        </w:tc>
        <w:tc>
          <w:tcPr>
            <w:tcW w:w="2626" w:type="dxa"/>
            <w:vAlign w:val="center"/>
          </w:tcPr>
          <w:p>
            <w:pPr>
              <w:spacing w:line="226" w:lineRule="exact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是否达到预期标准（</w:t>
            </w: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Arial"/>
                <w:bCs/>
                <w:sz w:val="20"/>
              </w:rPr>
              <w:t>分）</w:t>
            </w:r>
          </w:p>
        </w:tc>
        <w:tc>
          <w:tcPr>
            <w:tcW w:w="2786" w:type="dxa"/>
            <w:vAlign w:val="center"/>
          </w:tcPr>
          <w:p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400" w:firstLineChars="200"/>
              <w:textAlignment w:val="auto"/>
              <w:rPr>
                <w:rFonts w:hint="default" w:ascii="仿宋_GB2312" w:hAnsi="宋体" w:eastAsia="仿宋_GB2312" w:cs="Arial"/>
                <w:bCs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Arial"/>
                <w:bCs/>
                <w:kern w:val="2"/>
                <w:sz w:val="20"/>
                <w:szCs w:val="24"/>
                <w:lang w:val="en-US" w:eastAsia="zh-CN" w:bidi="ar-SA"/>
              </w:rPr>
              <w:t>已达到预期标准，得5分</w:t>
            </w:r>
          </w:p>
        </w:tc>
        <w:tc>
          <w:tcPr>
            <w:tcW w:w="602" w:type="dxa"/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5</w:t>
            </w:r>
          </w:p>
        </w:tc>
        <w:tc>
          <w:tcPr>
            <w:tcW w:w="545" w:type="dxa"/>
            <w:vAlign w:val="center"/>
          </w:tcPr>
          <w:p>
            <w:pPr>
              <w:spacing w:line="226" w:lineRule="exact"/>
              <w:jc w:val="center"/>
              <w:rPr>
                <w:rFonts w:hint="eastAsia" w:ascii="仿宋_GB2312" w:hAnsi="宋体" w:eastAsia="仿宋_GB2312" w:cs="Arial"/>
                <w:bCs/>
                <w:sz w:val="20"/>
                <w:lang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9535" w:type="dxa"/>
            <w:gridSpan w:val="7"/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合计</w:t>
            </w:r>
          </w:p>
        </w:tc>
        <w:tc>
          <w:tcPr>
            <w:tcW w:w="602" w:type="dxa"/>
            <w:vAlign w:val="center"/>
          </w:tcPr>
          <w:p>
            <w:pPr>
              <w:spacing w:line="226" w:lineRule="exact"/>
              <w:jc w:val="center"/>
              <w:rPr>
                <w:rFonts w:ascii="仿宋_GB2312" w:hAnsi="宋体" w:eastAsia="仿宋_GB2312" w:cs="Arial"/>
                <w:bCs/>
                <w:sz w:val="20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</w:rPr>
              <w:t>100</w:t>
            </w:r>
          </w:p>
        </w:tc>
        <w:tc>
          <w:tcPr>
            <w:tcW w:w="545" w:type="dxa"/>
            <w:vAlign w:val="center"/>
          </w:tcPr>
          <w:p>
            <w:pPr>
              <w:spacing w:line="226" w:lineRule="exact"/>
              <w:jc w:val="center"/>
              <w:rPr>
                <w:rFonts w:hint="default" w:ascii="仿宋_GB2312" w:hAnsi="宋体" w:eastAsia="仿宋_GB2312" w:cs="Arial"/>
                <w:bCs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bCs/>
                <w:sz w:val="20"/>
                <w:lang w:val="en-US" w:eastAsia="zh-CN"/>
              </w:rPr>
              <w:t>98</w:t>
            </w:r>
          </w:p>
        </w:tc>
      </w:tr>
    </w:tbl>
    <w:p>
      <w:pPr/>
    </w:p>
    <w:p>
      <w:pPr/>
    </w:p>
    <w:bookmarkEnd w:id="0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Arial Unicode MS">
    <w:panose1 w:val="020B0604020202020204"/>
    <w:charset w:val="86"/>
    <w:family w:val="script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3933674044">
    <w:nsid w:val="EA771A3C"/>
    <w:multiLevelType w:val="singleLevel"/>
    <w:tmpl w:val="EA771A3C"/>
    <w:lvl w:ilvl="0" w:tentative="1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847098469">
    <w:nsid w:val="327DB265"/>
    <w:multiLevelType w:val="singleLevel"/>
    <w:tmpl w:val="327DB265"/>
    <w:lvl w:ilvl="0" w:tentative="1">
      <w:start w:val="3"/>
      <w:numFmt w:val="decimal"/>
      <w:suff w:val="nothing"/>
      <w:lvlText w:val="%1、"/>
      <w:lvlJc w:val="left"/>
    </w:lvl>
  </w:abstractNum>
  <w:abstractNum w:abstractNumId="3980418916">
    <w:nsid w:val="ED405F64"/>
    <w:multiLevelType w:val="singleLevel"/>
    <w:tmpl w:val="ED405F64"/>
    <w:lvl w:ilvl="0" w:tentative="1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633021115">
    <w:nsid w:val="9CF0B6BB"/>
    <w:multiLevelType w:val="singleLevel"/>
    <w:tmpl w:val="9CF0B6BB"/>
    <w:lvl w:ilvl="0" w:tentative="1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930547549">
    <w:nsid w:val="3777075D"/>
    <w:multiLevelType w:val="singleLevel"/>
    <w:tmpl w:val="3777075D"/>
    <w:lvl w:ilvl="0" w:tentative="1">
      <w:start w:val="4"/>
      <w:numFmt w:val="chineseCounting"/>
      <w:suff w:val="nothing"/>
      <w:lvlText w:val="%1、"/>
      <w:lvlJc w:val="left"/>
      <w:rPr>
        <w:rFonts w:hint="eastAsia" w:ascii="黑体" w:hAnsi="黑体" w:eastAsia="黑体" w:cs="黑体"/>
        <w:sz w:val="32"/>
        <w:szCs w:val="32"/>
      </w:rPr>
    </w:lvl>
  </w:abstractNum>
  <w:num w:numId="1">
    <w:abstractNumId w:val="847098469"/>
  </w:num>
  <w:num w:numId="2">
    <w:abstractNumId w:val="3933674044"/>
  </w:num>
  <w:num w:numId="3">
    <w:abstractNumId w:val="3980418916"/>
  </w:num>
  <w:num w:numId="4">
    <w:abstractNumId w:val="2633021115"/>
  </w:num>
  <w:num w:numId="5">
    <w:abstractNumId w:val="9305475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OTEzNDM1N2EwMTllNTk3ZDRjNDBlZTliOTc5NGRlZTAifQ=="/>
  </w:docVars>
  <w:rsids>
    <w:rsidRoot w:val="00EF3E1D"/>
    <w:rsid w:val="00152003"/>
    <w:rsid w:val="001B20EE"/>
    <w:rsid w:val="001B3F58"/>
    <w:rsid w:val="001E0F85"/>
    <w:rsid w:val="002A3F35"/>
    <w:rsid w:val="002E0DE2"/>
    <w:rsid w:val="00323708"/>
    <w:rsid w:val="003D3A78"/>
    <w:rsid w:val="004745CB"/>
    <w:rsid w:val="00510403"/>
    <w:rsid w:val="00692CB0"/>
    <w:rsid w:val="00760DF3"/>
    <w:rsid w:val="007A71E6"/>
    <w:rsid w:val="007A7F66"/>
    <w:rsid w:val="007E7FA3"/>
    <w:rsid w:val="008F64BA"/>
    <w:rsid w:val="00AF6F40"/>
    <w:rsid w:val="00CE3266"/>
    <w:rsid w:val="00D00859"/>
    <w:rsid w:val="00D234ED"/>
    <w:rsid w:val="00DF70A3"/>
    <w:rsid w:val="00E941F6"/>
    <w:rsid w:val="00EF3E1D"/>
    <w:rsid w:val="00F10E76"/>
    <w:rsid w:val="010A2099"/>
    <w:rsid w:val="0281313D"/>
    <w:rsid w:val="034C46C8"/>
    <w:rsid w:val="03ED45F8"/>
    <w:rsid w:val="043514FA"/>
    <w:rsid w:val="046C16A6"/>
    <w:rsid w:val="04704898"/>
    <w:rsid w:val="05280689"/>
    <w:rsid w:val="05BA0156"/>
    <w:rsid w:val="06FD6A9C"/>
    <w:rsid w:val="07221620"/>
    <w:rsid w:val="07B54B48"/>
    <w:rsid w:val="07CC3D97"/>
    <w:rsid w:val="09711517"/>
    <w:rsid w:val="09A52FCB"/>
    <w:rsid w:val="09DC3196"/>
    <w:rsid w:val="0A5320DD"/>
    <w:rsid w:val="0B9E269F"/>
    <w:rsid w:val="0C6B7072"/>
    <w:rsid w:val="0C816EC1"/>
    <w:rsid w:val="0D004C93"/>
    <w:rsid w:val="0DC530C7"/>
    <w:rsid w:val="0E537A0C"/>
    <w:rsid w:val="0EEB4FFA"/>
    <w:rsid w:val="0F9A73CE"/>
    <w:rsid w:val="0FC05406"/>
    <w:rsid w:val="117D06CB"/>
    <w:rsid w:val="11EC7821"/>
    <w:rsid w:val="11FB44C2"/>
    <w:rsid w:val="12F858AF"/>
    <w:rsid w:val="130633A2"/>
    <w:rsid w:val="133B797C"/>
    <w:rsid w:val="13C41508"/>
    <w:rsid w:val="13D4744F"/>
    <w:rsid w:val="14720D55"/>
    <w:rsid w:val="14984CDD"/>
    <w:rsid w:val="15245203"/>
    <w:rsid w:val="15AA6BEC"/>
    <w:rsid w:val="16305934"/>
    <w:rsid w:val="16EB2A6D"/>
    <w:rsid w:val="180D7CFB"/>
    <w:rsid w:val="186F6AC7"/>
    <w:rsid w:val="18EC74A2"/>
    <w:rsid w:val="190774DE"/>
    <w:rsid w:val="1B06522F"/>
    <w:rsid w:val="1B976F74"/>
    <w:rsid w:val="1BCC4596"/>
    <w:rsid w:val="1BF433B1"/>
    <w:rsid w:val="1C861A1E"/>
    <w:rsid w:val="1CE5082A"/>
    <w:rsid w:val="1CEE1928"/>
    <w:rsid w:val="1E611DED"/>
    <w:rsid w:val="1EB6051F"/>
    <w:rsid w:val="20330227"/>
    <w:rsid w:val="206D7FA8"/>
    <w:rsid w:val="20C560E4"/>
    <w:rsid w:val="21732FFF"/>
    <w:rsid w:val="22284230"/>
    <w:rsid w:val="23EB1413"/>
    <w:rsid w:val="243351B4"/>
    <w:rsid w:val="249C3CA1"/>
    <w:rsid w:val="25322CBA"/>
    <w:rsid w:val="26FC60F3"/>
    <w:rsid w:val="27CD1D4F"/>
    <w:rsid w:val="283E4B96"/>
    <w:rsid w:val="287A57D3"/>
    <w:rsid w:val="29993A34"/>
    <w:rsid w:val="2A1C0F1C"/>
    <w:rsid w:val="2A5B1557"/>
    <w:rsid w:val="2A8075E2"/>
    <w:rsid w:val="2BAC3ED9"/>
    <w:rsid w:val="2C260537"/>
    <w:rsid w:val="2C442B9B"/>
    <w:rsid w:val="2C5E0759"/>
    <w:rsid w:val="2C7B3353"/>
    <w:rsid w:val="2D5B650E"/>
    <w:rsid w:val="2DAE0E06"/>
    <w:rsid w:val="2E636DFE"/>
    <w:rsid w:val="2E810970"/>
    <w:rsid w:val="2FD514A8"/>
    <w:rsid w:val="2FF8481F"/>
    <w:rsid w:val="30156CB8"/>
    <w:rsid w:val="31776D8E"/>
    <w:rsid w:val="33DD01A6"/>
    <w:rsid w:val="364D1DE5"/>
    <w:rsid w:val="379321FE"/>
    <w:rsid w:val="38093086"/>
    <w:rsid w:val="38CA7B94"/>
    <w:rsid w:val="390F5887"/>
    <w:rsid w:val="393F307E"/>
    <w:rsid w:val="3B192DE3"/>
    <w:rsid w:val="3B3E49E2"/>
    <w:rsid w:val="3C3B0F58"/>
    <w:rsid w:val="3E3D659B"/>
    <w:rsid w:val="3E77768D"/>
    <w:rsid w:val="4040374F"/>
    <w:rsid w:val="408651AF"/>
    <w:rsid w:val="40AC39CF"/>
    <w:rsid w:val="40D12E8E"/>
    <w:rsid w:val="4134382C"/>
    <w:rsid w:val="413D4532"/>
    <w:rsid w:val="421127A6"/>
    <w:rsid w:val="42344FAC"/>
    <w:rsid w:val="44DE3E84"/>
    <w:rsid w:val="457C54D7"/>
    <w:rsid w:val="4588325B"/>
    <w:rsid w:val="45B06BDF"/>
    <w:rsid w:val="45B1268E"/>
    <w:rsid w:val="461B40A2"/>
    <w:rsid w:val="4686384A"/>
    <w:rsid w:val="46B319F7"/>
    <w:rsid w:val="46DD6390"/>
    <w:rsid w:val="46F04380"/>
    <w:rsid w:val="474B1306"/>
    <w:rsid w:val="47671177"/>
    <w:rsid w:val="47933662"/>
    <w:rsid w:val="47CB66EF"/>
    <w:rsid w:val="47CE2BFE"/>
    <w:rsid w:val="486E7262"/>
    <w:rsid w:val="49041EA3"/>
    <w:rsid w:val="49A36538"/>
    <w:rsid w:val="49B50DE1"/>
    <w:rsid w:val="4A7346B1"/>
    <w:rsid w:val="4A906686"/>
    <w:rsid w:val="4AE005EA"/>
    <w:rsid w:val="4B266B3B"/>
    <w:rsid w:val="4B8F3756"/>
    <w:rsid w:val="4C545846"/>
    <w:rsid w:val="4C952B53"/>
    <w:rsid w:val="4CEC48DD"/>
    <w:rsid w:val="4D017260"/>
    <w:rsid w:val="4E716CD9"/>
    <w:rsid w:val="4F4B27E9"/>
    <w:rsid w:val="4F551FF5"/>
    <w:rsid w:val="4FB3682B"/>
    <w:rsid w:val="50047C30"/>
    <w:rsid w:val="500D25E0"/>
    <w:rsid w:val="507819BE"/>
    <w:rsid w:val="50805E26"/>
    <w:rsid w:val="509A69A5"/>
    <w:rsid w:val="5108003F"/>
    <w:rsid w:val="51E603A3"/>
    <w:rsid w:val="53455E6B"/>
    <w:rsid w:val="53A50657"/>
    <w:rsid w:val="53DE3700"/>
    <w:rsid w:val="54C53DC5"/>
    <w:rsid w:val="55217275"/>
    <w:rsid w:val="55852CB9"/>
    <w:rsid w:val="561B2604"/>
    <w:rsid w:val="564D603F"/>
    <w:rsid w:val="5659480F"/>
    <w:rsid w:val="56FD4D69"/>
    <w:rsid w:val="57081C63"/>
    <w:rsid w:val="574108E6"/>
    <w:rsid w:val="577D7F55"/>
    <w:rsid w:val="57C7724B"/>
    <w:rsid w:val="58931650"/>
    <w:rsid w:val="595F2733"/>
    <w:rsid w:val="5A101C05"/>
    <w:rsid w:val="5A896AD3"/>
    <w:rsid w:val="5BBF0BF1"/>
    <w:rsid w:val="5C5523BB"/>
    <w:rsid w:val="5DC62497"/>
    <w:rsid w:val="5E1426D3"/>
    <w:rsid w:val="5E6A12EB"/>
    <w:rsid w:val="5F7C19CC"/>
    <w:rsid w:val="60800392"/>
    <w:rsid w:val="61801205"/>
    <w:rsid w:val="621465AD"/>
    <w:rsid w:val="62253B21"/>
    <w:rsid w:val="629338ED"/>
    <w:rsid w:val="62966B82"/>
    <w:rsid w:val="62AA6BFD"/>
    <w:rsid w:val="63136545"/>
    <w:rsid w:val="63941E70"/>
    <w:rsid w:val="63C631CC"/>
    <w:rsid w:val="64261014"/>
    <w:rsid w:val="64EF0DB5"/>
    <w:rsid w:val="65E11884"/>
    <w:rsid w:val="66901724"/>
    <w:rsid w:val="66DC648F"/>
    <w:rsid w:val="685A4623"/>
    <w:rsid w:val="696E5480"/>
    <w:rsid w:val="69A51E10"/>
    <w:rsid w:val="6AFE3B73"/>
    <w:rsid w:val="6C4859AF"/>
    <w:rsid w:val="6D556B64"/>
    <w:rsid w:val="6DB45BBF"/>
    <w:rsid w:val="6E736269"/>
    <w:rsid w:val="70596836"/>
    <w:rsid w:val="709453E8"/>
    <w:rsid w:val="714125CE"/>
    <w:rsid w:val="714B15D2"/>
    <w:rsid w:val="717B5C35"/>
    <w:rsid w:val="7289174F"/>
    <w:rsid w:val="733F4290"/>
    <w:rsid w:val="73F84240"/>
    <w:rsid w:val="744722B5"/>
    <w:rsid w:val="744C3D6A"/>
    <w:rsid w:val="7495301E"/>
    <w:rsid w:val="7510021D"/>
    <w:rsid w:val="75134095"/>
    <w:rsid w:val="75713296"/>
    <w:rsid w:val="764B5375"/>
    <w:rsid w:val="77152C13"/>
    <w:rsid w:val="77B0273E"/>
    <w:rsid w:val="788E6606"/>
    <w:rsid w:val="792F37ED"/>
    <w:rsid w:val="79D35E09"/>
    <w:rsid w:val="7A137003"/>
    <w:rsid w:val="7A3C3F67"/>
    <w:rsid w:val="7A5B5737"/>
    <w:rsid w:val="7A682D29"/>
    <w:rsid w:val="7AD91AB8"/>
    <w:rsid w:val="7BC43EFE"/>
    <w:rsid w:val="7C8E5836"/>
    <w:rsid w:val="7CFB69EF"/>
    <w:rsid w:val="7D1E17B8"/>
    <w:rsid w:val="7D306F54"/>
    <w:rsid w:val="7D797EC7"/>
    <w:rsid w:val="7D882034"/>
    <w:rsid w:val="7DBC5D34"/>
    <w:rsid w:val="7F5447A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qFormat/>
    <w:uiPriority w:val="9"/>
    <w:pPr>
      <w:keepNext/>
      <w:keepLines/>
      <w:snapToGrid w:val="0"/>
      <w:outlineLvl w:val="2"/>
    </w:pPr>
    <w:rPr>
      <w:rFonts w:ascii="Calibri" w:hAnsi="Calibri" w:eastAsia="方正楷体_GBK"/>
      <w:b/>
      <w:sz w:val="32"/>
    </w:rPr>
  </w:style>
  <w:style w:type="character" w:default="1" w:styleId="9">
    <w:name w:val="Default Paragraph Font"/>
    <w:unhideWhenUsed/>
    <w:uiPriority w:val="1"/>
  </w:style>
  <w:style w:type="table" w:default="1" w:styleId="1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next w:val="1"/>
    <w:unhideWhenUsed/>
    <w:qFormat/>
    <w:uiPriority w:val="99"/>
    <w:rPr>
      <w:kern w:val="0"/>
      <w:szCs w:val="20"/>
    </w:rPr>
  </w:style>
  <w:style w:type="paragraph" w:styleId="5">
    <w:name w:val="Balloon Text"/>
    <w:basedOn w:val="1"/>
    <w:link w:val="19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rPr>
      <w:sz w:val="24"/>
    </w:rPr>
  </w:style>
  <w:style w:type="character" w:styleId="10">
    <w:name w:val="Strong"/>
    <w:basedOn w:val="9"/>
    <w:qFormat/>
    <w:uiPriority w:val="0"/>
    <w:rPr>
      <w:b/>
      <w:bCs/>
    </w:rPr>
  </w:style>
  <w:style w:type="character" w:styleId="11">
    <w:name w:val="FollowedHyperlink"/>
    <w:basedOn w:val="9"/>
    <w:qFormat/>
    <w:uiPriority w:val="0"/>
    <w:rPr>
      <w:color w:val="000000"/>
      <w:u w:val="none"/>
    </w:rPr>
  </w:style>
  <w:style w:type="character" w:styleId="12">
    <w:name w:val="Emphasis"/>
    <w:basedOn w:val="9"/>
    <w:qFormat/>
    <w:uiPriority w:val="0"/>
    <w:rPr>
      <w:u w:val="none"/>
    </w:rPr>
  </w:style>
  <w:style w:type="character" w:styleId="13">
    <w:name w:val="Hyperlink"/>
    <w:basedOn w:val="9"/>
    <w:qFormat/>
    <w:uiPriority w:val="0"/>
    <w:rPr>
      <w:color w:val="000000"/>
      <w:u w:val="none"/>
    </w:rPr>
  </w:style>
  <w:style w:type="character" w:styleId="14">
    <w:name w:val="HTML Code"/>
    <w:basedOn w:val="9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5">
    <w:name w:val="HTML Keyboard"/>
    <w:basedOn w:val="9"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6">
    <w:name w:val="HTML Sample"/>
    <w:basedOn w:val="9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8">
    <w:name w:val="layui-laypage-curr"/>
    <w:basedOn w:val="9"/>
    <w:qFormat/>
    <w:uiPriority w:val="0"/>
  </w:style>
  <w:style w:type="character" w:customStyle="1" w:styleId="19">
    <w:name w:val="批注框文本 Char"/>
    <w:basedOn w:val="9"/>
    <w:link w:val="5"/>
    <w:qFormat/>
    <w:uiPriority w:val="0"/>
    <w:rPr>
      <w:kern w:val="2"/>
      <w:sz w:val="18"/>
      <w:szCs w:val="18"/>
    </w:rPr>
  </w:style>
  <w:style w:type="paragraph" w:customStyle="1" w:styleId="20">
    <w:name w:val="南京正文"/>
    <w:basedOn w:val="1"/>
    <w:qFormat/>
    <w:uiPriority w:val="0"/>
    <w:pPr>
      <w:spacing w:line="560" w:lineRule="exact"/>
      <w:ind w:firstLine="200" w:firstLineChars="200"/>
    </w:pPr>
    <w:rPr>
      <w:rFonts w:eastAsia="仿宋"/>
      <w:kern w:val="0"/>
      <w:sz w:val="32"/>
      <w:szCs w:val="28"/>
      <w:lang w:val="zh-CN"/>
    </w:rPr>
  </w:style>
  <w:style w:type="paragraph" w:customStyle="1" w:styleId="21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354</Words>
  <Characters>2024</Characters>
  <Lines>16</Lines>
  <Paragraphs>4</Paragraphs>
  <ScaleCrop>false</ScaleCrop>
  <LinksUpToDate>false</LinksUpToDate>
  <CharactersWithSpaces>2374</CharactersWithSpaces>
  <Application>WPS Office_10.8.0.5391_F1E327BC-269C-435d-A152-05C5408002CA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2023-03-08T06:49:00Z</dcterms:created>
  <dc:creator>lenovo</dc:creator>
  <cp:lastModifiedBy>Administrator</cp:lastModifiedBy>
  <cp:lastPrinted>2023-09-08T01:48:00Z</cp:lastPrinted>
  <dcterms:modified xsi:type="dcterms:W3CDTF">2026-10-19T01:50:11Z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2052-10.8.0.5391</vt:lpwstr>
  </property>
  <property fmtid="{D5CDD505-2E9C-101B-9397-08002B2CF9AE}" pid="3" name="ICV">
    <vt:lpwstr>13FE9013982A4385BA1D3E1D2BD5F1F4</vt:lpwstr>
  </property>
</Properties>
</file>