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keepNext w:val="0"/>
        <w:keepLines w:val="0"/>
        <w:pageBreakBefore w:val="0"/>
        <w:widowControl w:val="0"/>
        <w:kinsoku/>
        <w:wordWrap w:val="0"/>
        <w:overflowPunct/>
        <w:topLinePunct w:val="0"/>
        <w:autoSpaceDE/>
        <w:autoSpaceDN/>
        <w:bidi w:val="0"/>
        <w:adjustRightInd/>
        <w:snapToGrid/>
        <w:spacing w:line="0" w:lineRule="atLeast"/>
        <w:jc w:val="center"/>
        <w:textAlignment w:val="baseline"/>
        <w:rPr>
          <w:rFonts w:hint="eastAsia" w:ascii="方正小标宋_GBK" w:hAnsi="方正小标宋_GBK" w:eastAsia="方正小标宋_GBK" w:cs="方正小标宋_GBK"/>
          <w:b/>
          <w:color w:val="000000"/>
          <w:sz w:val="44"/>
          <w:szCs w:val="44"/>
        </w:rPr>
      </w:pPr>
      <w:r>
        <w:rPr>
          <w:rFonts w:hint="eastAsia" w:ascii="方正小标宋_GBK" w:hAnsi="方正小标宋_GBK" w:eastAsia="方正小标宋_GBK" w:cs="方正小标宋_GBK"/>
          <w:b/>
          <w:color w:val="000000"/>
          <w:sz w:val="44"/>
          <w:szCs w:val="44"/>
        </w:rPr>
        <w:t>2025年度南京市公安局交通安全法制教育中心整体绩效评价报告</w:t>
      </w:r>
    </w:p>
    <w:p>
      <w:pPr>
        <w:pStyle w:val="40"/>
        <w:ind w:firstLine="420"/>
      </w:pPr>
    </w:p>
    <w:p>
      <w:pPr>
        <w:pStyle w:val="2"/>
        <w:keepNext/>
        <w:keepLines/>
        <w:pageBreakBefore w:val="0"/>
        <w:widowControl w:val="0"/>
        <w:kinsoku/>
        <w:wordWrap/>
        <w:overflowPunct/>
        <w:topLinePunct w:val="0"/>
        <w:autoSpaceDE/>
        <w:autoSpaceDN/>
        <w:bidi w:val="0"/>
        <w:adjustRightInd w:val="0"/>
        <w:snapToGrid w:val="0"/>
        <w:spacing w:after="0" w:afterLines="0" w:line="560" w:lineRule="exact"/>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一、单位概况</w:t>
      </w:r>
    </w:p>
    <w:p>
      <w:pPr>
        <w:keepNext w:val="0"/>
        <w:keepLines w:val="0"/>
        <w:pageBreakBefore w:val="0"/>
        <w:widowControl w:val="0"/>
        <w:kinsoku/>
        <w:wordWrap w:val="0"/>
        <w:overflowPunct/>
        <w:topLinePunct w:val="0"/>
        <w:autoSpaceDE/>
        <w:autoSpaceDN/>
        <w:bidi w:val="0"/>
        <w:adjustRightInd w:val="0"/>
        <w:snapToGrid w:val="0"/>
        <w:spacing w:line="560" w:lineRule="exact"/>
        <w:ind w:firstLine="640" w:firstLineChars="200"/>
        <w:textAlignment w:val="baseline"/>
        <w:rPr>
          <w:rFonts w:hint="eastAsia" w:ascii="方正楷体_GBK" w:hAnsi="方正楷体_GBK" w:eastAsia="方正楷体_GBK" w:cs="方正楷体_GBK"/>
          <w:sz w:val="32"/>
          <w:szCs w:val="32"/>
        </w:rPr>
      </w:pPr>
      <w:r>
        <w:rPr>
          <w:rFonts w:hint="eastAsia" w:ascii="方正楷体_GBK" w:hAnsi="方正楷体_GBK" w:eastAsia="方正楷体_GBK" w:cs="方正楷体_GBK"/>
          <w:color w:val="000000"/>
          <w:sz w:val="32"/>
          <w:szCs w:val="32"/>
        </w:rPr>
        <w:t>(</w:t>
      </w:r>
      <w:r>
        <w:rPr>
          <w:rFonts w:hint="eastAsia" w:ascii="方正楷体_GBK" w:hAnsi="方正楷体_GBK" w:eastAsia="方正楷体_GBK" w:cs="方正楷体_GBK"/>
          <w:color w:val="000000"/>
          <w:sz w:val="32"/>
          <w:szCs w:val="32"/>
          <w:lang w:eastAsia="zh-CN"/>
        </w:rPr>
        <w:t>一</w:t>
      </w:r>
      <w:r>
        <w:rPr>
          <w:rFonts w:hint="eastAsia" w:ascii="方正楷体_GBK" w:hAnsi="方正楷体_GBK" w:eastAsia="方正楷体_GBK" w:cs="方正楷体_GBK"/>
          <w:color w:val="000000"/>
          <w:sz w:val="32"/>
          <w:szCs w:val="32"/>
        </w:rPr>
        <w:t>)</w:t>
      </w:r>
      <w:r>
        <w:rPr>
          <w:rFonts w:hint="eastAsia" w:ascii="方正楷体_GBK" w:hAnsi="方正楷体_GBK" w:eastAsia="方正楷体_GBK" w:cs="方正楷体_GBK"/>
          <w:color w:val="000000"/>
          <w:sz w:val="32"/>
          <w:szCs w:val="32"/>
          <w:lang w:eastAsia="zh-CN"/>
        </w:rPr>
        <w:t>单位基本</w:t>
      </w:r>
      <w:r>
        <w:rPr>
          <w:rFonts w:hint="eastAsia" w:ascii="方正楷体_GBK" w:hAnsi="方正楷体_GBK" w:eastAsia="方正楷体_GBK" w:cs="方正楷体_GBK"/>
          <w:color w:val="000000"/>
          <w:sz w:val="32"/>
          <w:szCs w:val="32"/>
        </w:rPr>
        <w:t>情况</w:t>
      </w:r>
    </w:p>
    <w:p>
      <w:pPr>
        <w:pageBreakBefore w:val="0"/>
        <w:widowControl w:val="0"/>
        <w:kinsoku/>
        <w:wordWrap w:val="0"/>
        <w:overflowPunct/>
        <w:topLinePunct w:val="0"/>
        <w:autoSpaceDE/>
        <w:autoSpaceDN/>
        <w:bidi w:val="0"/>
        <w:adjustRightInd w:val="0"/>
        <w:snapToGrid w:val="0"/>
        <w:spacing w:line="560" w:lineRule="exact"/>
        <w:ind w:firstLine="640" w:firstLineChars="200"/>
        <w:textAlignment w:val="baseline"/>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color w:val="000000"/>
          <w:sz w:val="32"/>
          <w:szCs w:val="32"/>
          <w:lang w:val="en-US" w:eastAsia="zh-CN"/>
        </w:rPr>
        <w:t>1</w:t>
      </w:r>
      <w:r>
        <w:rPr>
          <w:rFonts w:hint="eastAsia" w:ascii="方正仿宋_GBK" w:hAnsi="方正仿宋_GBK" w:eastAsia="方正仿宋_GBK" w:cs="方正仿宋_GBK"/>
          <w:color w:val="000000"/>
          <w:sz w:val="32"/>
          <w:szCs w:val="32"/>
        </w:rPr>
        <w:t>.</w:t>
      </w:r>
      <w:r>
        <w:rPr>
          <w:rFonts w:hint="eastAsia" w:ascii="方正仿宋_GBK" w:hAnsi="方正仿宋_GBK" w:eastAsia="方正仿宋_GBK" w:cs="方正仿宋_GBK"/>
          <w:color w:val="000000"/>
          <w:sz w:val="32"/>
          <w:szCs w:val="32"/>
          <w:lang w:eastAsia="zh-CN"/>
        </w:rPr>
        <w:t>单位职能</w:t>
      </w:r>
    </w:p>
    <w:p>
      <w:pPr>
        <w:pageBreakBefore w:val="0"/>
        <w:widowControl w:val="0"/>
        <w:kinsoku/>
        <w:wordWrap w:val="0"/>
        <w:overflowPunct/>
        <w:topLinePunct w:val="0"/>
        <w:autoSpaceDE/>
        <w:autoSpaceDN/>
        <w:bidi w:val="0"/>
        <w:adjustRightInd w:val="0"/>
        <w:snapToGrid w:val="0"/>
        <w:spacing w:line="560" w:lineRule="exact"/>
        <w:ind w:firstLine="640" w:firstLineChars="200"/>
        <w:textAlignment w:val="baseline"/>
        <w:rPr>
          <w:rFonts w:hint="eastAsia" w:ascii="方正仿宋_GBK" w:hAnsi="方正仿宋_GBK" w:eastAsia="方正仿宋_GBK" w:cs="方正仿宋_GBK"/>
          <w:sz w:val="32"/>
          <w:szCs w:val="32"/>
          <w:highlight w:val="lightGray"/>
        </w:rPr>
      </w:pPr>
      <w:r>
        <w:rPr>
          <w:rFonts w:hint="eastAsia" w:ascii="方正仿宋_GBK" w:hAnsi="方正仿宋_GBK" w:eastAsia="方正仿宋_GBK" w:cs="方正仿宋_GBK"/>
          <w:sz w:val="32"/>
          <w:szCs w:val="32"/>
        </w:rPr>
        <w:t>南京市公安局交通安全法制教育中心，原名南京市公安局机动车驾驶员培训中心，于1995年4月21日，经南京市机构编制委员会批复同意建立。2013年1月5日，南京市公安局机动车驾驶员培训中心更名为南京市公安局交通安全法制教育中心</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color w:val="000000"/>
          <w:sz w:val="32"/>
          <w:szCs w:val="32"/>
        </w:rPr>
        <w:t>为公益二类事业单位。</w:t>
      </w:r>
    </w:p>
    <w:p>
      <w:pPr>
        <w:pageBreakBefore w:val="0"/>
        <w:widowControl w:val="0"/>
        <w:kinsoku/>
        <w:wordWrap w:val="0"/>
        <w:overflowPunct/>
        <w:topLinePunct w:val="0"/>
        <w:autoSpaceDE/>
        <w:autoSpaceDN/>
        <w:bidi w:val="0"/>
        <w:adjustRightInd w:val="0"/>
        <w:snapToGrid w:val="0"/>
        <w:spacing w:line="560" w:lineRule="exact"/>
        <w:ind w:firstLine="640" w:firstLineChars="200"/>
        <w:textAlignment w:val="baseline"/>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南京市公安局交通安全法制教育中心单位职能主要包括：协助公安交通管理机关开展违法记分驾驶人、重点监管车辆驾驶人的交通法规强制教育，并辅助开展交通安全、文明驾驶、职业道德教育等方面的教育工作。</w:t>
      </w:r>
    </w:p>
    <w:p>
      <w:pPr>
        <w:pageBreakBefore w:val="0"/>
        <w:widowControl w:val="0"/>
        <w:kinsoku/>
        <w:wordWrap w:val="0"/>
        <w:overflowPunct/>
        <w:topLinePunct w:val="0"/>
        <w:autoSpaceDE/>
        <w:autoSpaceDN/>
        <w:bidi w:val="0"/>
        <w:adjustRightInd w:val="0"/>
        <w:snapToGrid w:val="0"/>
        <w:spacing w:line="560" w:lineRule="exact"/>
        <w:ind w:firstLine="640" w:firstLineChars="200"/>
        <w:textAlignment w:val="baseline"/>
        <w:rPr>
          <w:rFonts w:hint="eastAsia" w:ascii="方正仿宋_GBK" w:hAnsi="方正仿宋_GBK" w:eastAsia="方正仿宋_GBK" w:cs="方正仿宋_GBK"/>
          <w:sz w:val="32"/>
          <w:szCs w:val="32"/>
        </w:rPr>
      </w:pPr>
      <w:r>
        <w:rPr>
          <w:rFonts w:hint="eastAsia" w:ascii="方正仿宋_GBK" w:hAnsi="方正仿宋_GBK" w:eastAsia="方正仿宋_GBK" w:cs="方正仿宋_GBK"/>
          <w:color w:val="000000"/>
          <w:sz w:val="32"/>
          <w:szCs w:val="32"/>
        </w:rPr>
        <w:t>2.机构设置</w:t>
      </w:r>
    </w:p>
    <w:p>
      <w:pPr>
        <w:pageBreakBefore w:val="0"/>
        <w:widowControl w:val="0"/>
        <w:kinsoku/>
        <w:wordWrap w:val="0"/>
        <w:overflowPunct/>
        <w:topLinePunct w:val="0"/>
        <w:autoSpaceDE/>
        <w:autoSpaceDN/>
        <w:bidi w:val="0"/>
        <w:adjustRightInd w:val="0"/>
        <w:snapToGrid w:val="0"/>
        <w:spacing w:line="560" w:lineRule="exact"/>
        <w:ind w:firstLine="640" w:firstLineChars="200"/>
        <w:textAlignment w:val="baseline"/>
        <w:rPr>
          <w:rFonts w:hint="eastAsia" w:ascii="方正仿宋_GBK" w:hAnsi="方正仿宋_GBK" w:eastAsia="方正仿宋_GBK" w:cs="方正仿宋_GBK"/>
          <w:sz w:val="32"/>
          <w:szCs w:val="32"/>
        </w:rPr>
      </w:pPr>
      <w:r>
        <w:rPr>
          <w:rFonts w:hint="eastAsia" w:ascii="方正仿宋_GBK" w:hAnsi="方正仿宋_GBK" w:eastAsia="方正仿宋_GBK" w:cs="方正仿宋_GBK"/>
          <w:color w:val="000000"/>
          <w:sz w:val="32"/>
          <w:szCs w:val="32"/>
        </w:rPr>
        <w:t>南京市公安局交通安全法制教育中心内设机构0个，无下属单位。</w:t>
      </w:r>
    </w:p>
    <w:p>
      <w:pPr>
        <w:pageBreakBefore w:val="0"/>
        <w:widowControl w:val="0"/>
        <w:kinsoku/>
        <w:wordWrap w:val="0"/>
        <w:overflowPunct/>
        <w:topLinePunct w:val="0"/>
        <w:autoSpaceDE/>
        <w:autoSpaceDN/>
        <w:bidi w:val="0"/>
        <w:adjustRightInd w:val="0"/>
        <w:snapToGrid w:val="0"/>
        <w:spacing w:line="560" w:lineRule="exact"/>
        <w:ind w:firstLine="640" w:firstLineChars="200"/>
        <w:textAlignment w:val="baseline"/>
        <w:rPr>
          <w:rFonts w:hint="eastAsia" w:ascii="方正仿宋_GBK" w:hAnsi="方正仿宋_GBK" w:eastAsia="方正仿宋_GBK" w:cs="方正仿宋_GBK"/>
          <w:sz w:val="32"/>
          <w:szCs w:val="32"/>
        </w:rPr>
      </w:pPr>
      <w:r>
        <w:rPr>
          <w:rFonts w:hint="eastAsia" w:ascii="方正仿宋_GBK" w:hAnsi="方正仿宋_GBK" w:eastAsia="方正仿宋_GBK" w:cs="方正仿宋_GBK"/>
          <w:color w:val="000000"/>
          <w:sz w:val="32"/>
          <w:szCs w:val="32"/>
        </w:rPr>
        <w:t>3.人员配置</w:t>
      </w:r>
    </w:p>
    <w:p>
      <w:pPr>
        <w:wordWrap w:val="0"/>
        <w:spacing w:line="560" w:lineRule="exact"/>
        <w:ind w:firstLine="640" w:firstLineChars="200"/>
        <w:textAlignment w:val="baseline"/>
        <w:rPr>
          <w:rFonts w:hint="eastAsia" w:ascii="方正仿宋_GBK" w:hAnsi="方正仿宋_GBK" w:eastAsia="方正仿宋_GBK" w:cs="方正仿宋_GBK"/>
          <w:sz w:val="32"/>
          <w:szCs w:val="32"/>
        </w:rPr>
      </w:pPr>
      <w:r>
        <w:rPr>
          <w:rFonts w:hint="eastAsia" w:ascii="方正仿宋_GBK" w:hAnsi="方正仿宋_GBK" w:eastAsia="方正仿宋_GBK" w:cs="方正仿宋_GBK"/>
          <w:color w:val="000000"/>
          <w:sz w:val="32"/>
          <w:szCs w:val="32"/>
        </w:rPr>
        <w:t>2025年南京市公安局交通安全法制教育中心核准事业编制</w:t>
      </w:r>
      <w:r>
        <w:rPr>
          <w:rFonts w:hint="eastAsia" w:ascii="方正仿宋_GBK" w:hAnsi="方正仿宋_GBK" w:eastAsia="方正仿宋_GBK" w:cs="方正仿宋_GBK"/>
          <w:sz w:val="32"/>
          <w:szCs w:val="32"/>
        </w:rPr>
        <w:t>40人。</w:t>
      </w:r>
      <w:r>
        <w:rPr>
          <w:rFonts w:hint="eastAsia" w:ascii="方正仿宋_GBK" w:hAnsi="方正仿宋_GBK" w:eastAsia="方正仿宋_GBK" w:cs="方正仿宋_GBK"/>
          <w:color w:val="000000"/>
          <w:sz w:val="32"/>
          <w:szCs w:val="32"/>
        </w:rPr>
        <w:t>截止2025年12月，共有在职人员10人，其中事业编制10人；另有退休21人。</w:t>
      </w:r>
    </w:p>
    <w:p>
      <w:pPr>
        <w:wordWrap w:val="0"/>
        <w:spacing w:line="560" w:lineRule="exact"/>
        <w:ind w:firstLine="640" w:firstLineChars="200"/>
        <w:textAlignment w:val="baseline"/>
        <w:rPr>
          <w:rFonts w:hint="eastAsia" w:ascii="方正仿宋_GBK" w:hAnsi="方正仿宋_GBK" w:eastAsia="方正仿宋_GBK" w:cs="方正仿宋_GBK"/>
          <w:sz w:val="32"/>
          <w:szCs w:val="32"/>
        </w:rPr>
      </w:pPr>
      <w:r>
        <w:rPr>
          <w:rFonts w:hint="eastAsia" w:ascii="方正仿宋_GBK" w:hAnsi="方正仿宋_GBK" w:eastAsia="方正仿宋_GBK" w:cs="方正仿宋_GBK"/>
          <w:color w:val="000000"/>
          <w:sz w:val="32"/>
          <w:szCs w:val="32"/>
        </w:rPr>
        <w:t>4.部门资产</w:t>
      </w:r>
    </w:p>
    <w:p>
      <w:pPr>
        <w:wordWrap w:val="0"/>
        <w:spacing w:line="560" w:lineRule="exact"/>
        <w:ind w:firstLine="640" w:firstLineChars="200"/>
        <w:textAlignment w:val="baseline"/>
        <w:rPr>
          <w:rFonts w:hint="eastAsia" w:ascii="方正仿宋_GBK" w:hAnsi="方正仿宋_GBK" w:eastAsia="方正仿宋_GBK" w:cs="方正仿宋_GBK"/>
          <w:sz w:val="32"/>
          <w:szCs w:val="32"/>
        </w:rPr>
      </w:pPr>
      <w:r>
        <w:rPr>
          <w:rFonts w:hint="eastAsia" w:ascii="方正仿宋_GBK" w:hAnsi="方正仿宋_GBK" w:eastAsia="方正仿宋_GBK" w:cs="方正仿宋_GBK"/>
          <w:color w:val="000000"/>
          <w:sz w:val="32"/>
          <w:szCs w:val="32"/>
        </w:rPr>
        <w:t>无。</w:t>
      </w:r>
    </w:p>
    <w:p>
      <w:pPr>
        <w:keepNext w:val="0"/>
        <w:keepLines w:val="0"/>
        <w:pageBreakBefore w:val="0"/>
        <w:widowControl w:val="0"/>
        <w:kinsoku/>
        <w:wordWrap w:val="0"/>
        <w:overflowPunct/>
        <w:topLinePunct w:val="0"/>
        <w:autoSpaceDE/>
        <w:autoSpaceDN/>
        <w:bidi w:val="0"/>
        <w:adjustRightInd w:val="0"/>
        <w:snapToGrid w:val="0"/>
        <w:spacing w:line="560" w:lineRule="exact"/>
        <w:ind w:firstLine="640" w:firstLineChars="200"/>
        <w:textAlignment w:val="baseline"/>
        <w:rPr>
          <w:rFonts w:hint="eastAsia" w:ascii="方正楷体_GBK" w:hAnsi="方正楷体_GBK" w:eastAsia="方正楷体_GBK" w:cs="方正楷体_GBK"/>
          <w:sz w:val="32"/>
          <w:szCs w:val="32"/>
        </w:rPr>
      </w:pPr>
      <w:r>
        <w:rPr>
          <w:rFonts w:hint="eastAsia" w:ascii="方正楷体_GBK" w:hAnsi="方正楷体_GBK" w:eastAsia="方正楷体_GBK" w:cs="方正楷体_GBK"/>
          <w:color w:val="000000"/>
          <w:sz w:val="32"/>
          <w:szCs w:val="32"/>
        </w:rPr>
        <w:t>(二)部门(单位)资金情况</w:t>
      </w:r>
    </w:p>
    <w:p>
      <w:pPr>
        <w:keepNext w:val="0"/>
        <w:keepLines w:val="0"/>
        <w:pageBreakBefore w:val="0"/>
        <w:widowControl w:val="0"/>
        <w:kinsoku/>
        <w:wordWrap w:val="0"/>
        <w:overflowPunct/>
        <w:topLinePunct w:val="0"/>
        <w:autoSpaceDE/>
        <w:autoSpaceDN/>
        <w:bidi w:val="0"/>
        <w:adjustRightInd w:val="0"/>
        <w:snapToGrid w:val="0"/>
        <w:spacing w:line="560" w:lineRule="exact"/>
        <w:ind w:firstLine="640" w:firstLineChars="200"/>
        <w:textAlignment w:val="baseline"/>
        <w:rPr>
          <w:rFonts w:hint="eastAsia" w:ascii="方正仿宋_GBK" w:hAnsi="方正仿宋_GBK" w:eastAsia="方正仿宋_GBK" w:cs="方正仿宋_GBK"/>
          <w:sz w:val="32"/>
          <w:szCs w:val="32"/>
        </w:rPr>
      </w:pPr>
      <w:r>
        <w:rPr>
          <w:rFonts w:hint="eastAsia" w:ascii="方正仿宋_GBK" w:hAnsi="方正仿宋_GBK" w:eastAsia="方正仿宋_GBK" w:cs="方正仿宋_GBK"/>
          <w:color w:val="000000"/>
          <w:sz w:val="32"/>
          <w:szCs w:val="32"/>
        </w:rPr>
        <w:t>1.部门收支情况</w:t>
      </w:r>
    </w:p>
    <w:p>
      <w:pPr>
        <w:wordWrap w:val="0"/>
        <w:spacing w:line="560" w:lineRule="exact"/>
        <w:ind w:firstLine="640" w:firstLineChars="200"/>
        <w:textAlignment w:val="baseline"/>
        <w:rPr>
          <w:rFonts w:hint="eastAsia" w:ascii="方正仿宋_GBK" w:hAnsi="方正仿宋_GBK" w:eastAsia="方正仿宋_GBK" w:cs="方正仿宋_GBK"/>
          <w:sz w:val="32"/>
          <w:szCs w:val="32"/>
        </w:rPr>
      </w:pPr>
      <w:r>
        <w:rPr>
          <w:rFonts w:hint="eastAsia" w:ascii="方正仿宋_GBK" w:hAnsi="方正仿宋_GBK" w:eastAsia="方正仿宋_GBK" w:cs="方正仿宋_GBK"/>
          <w:color w:val="000000"/>
          <w:sz w:val="32"/>
          <w:szCs w:val="32"/>
        </w:rPr>
        <w:t>南京市公安局交通安全法制教育中心2025年预算安排271.48万元，其中：基本支出271.48万元，项目支出0.00万元。调整后预算282.60万元，其中：基本支出282.60万元，调增15.88万元，主要原因是在职人员积金、薪级工资的调增。</w:t>
      </w:r>
    </w:p>
    <w:p>
      <w:pPr>
        <w:wordWrap w:val="0"/>
        <w:spacing w:line="560" w:lineRule="exact"/>
        <w:ind w:firstLine="640" w:firstLineChars="200"/>
        <w:textAlignment w:val="baseline"/>
        <w:rPr>
          <w:sz w:val="32"/>
          <w:szCs w:val="32"/>
        </w:rPr>
      </w:pPr>
      <w:r>
        <w:rPr>
          <w:rFonts w:hint="eastAsia" w:ascii="方正仿宋_GBK" w:hAnsi="方正仿宋_GBK" w:eastAsia="方正仿宋_GBK" w:cs="方正仿宋_GBK"/>
          <w:color w:val="000000"/>
          <w:sz w:val="32"/>
          <w:szCs w:val="32"/>
        </w:rPr>
        <w:t>2025年南京市公安局交通安全法制教育中心实际支出277.03万元，预算执行率98.03%。其中：基本支出277.03万元，预算执行率98.03%。详情见表1。</w:t>
      </w:r>
    </w:p>
    <w:p>
      <w:pPr>
        <w:keepNext w:val="0"/>
        <w:keepLines w:val="0"/>
        <w:pageBreakBefore w:val="0"/>
        <w:widowControl w:val="0"/>
        <w:kinsoku/>
        <w:wordWrap w:val="0"/>
        <w:overflowPunct/>
        <w:topLinePunct w:val="0"/>
        <w:autoSpaceDE/>
        <w:autoSpaceDN/>
        <w:bidi w:val="0"/>
        <w:adjustRightInd w:val="0"/>
        <w:snapToGrid w:val="0"/>
        <w:spacing w:line="560" w:lineRule="exact"/>
        <w:jc w:val="center"/>
        <w:textAlignment w:val="baseline"/>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color w:val="000000"/>
          <w:sz w:val="32"/>
          <w:szCs w:val="32"/>
        </w:rPr>
        <w:t>表1  2025年南京市公安局交通安全法制教育中心预算安排与支出情况</w:t>
      </w:r>
    </w:p>
    <w:p>
      <w:pPr>
        <w:keepNext w:val="0"/>
        <w:keepLines w:val="0"/>
        <w:pageBreakBefore w:val="0"/>
        <w:widowControl w:val="0"/>
        <w:kinsoku/>
        <w:wordWrap w:val="0"/>
        <w:overflowPunct/>
        <w:topLinePunct w:val="0"/>
        <w:autoSpaceDE/>
        <w:autoSpaceDN/>
        <w:bidi w:val="0"/>
        <w:adjustRightInd w:val="0"/>
        <w:snapToGrid w:val="0"/>
        <w:spacing w:line="560" w:lineRule="exact"/>
        <w:ind w:firstLine="643" w:firstLineChars="200"/>
        <w:jc w:val="right"/>
        <w:textAlignment w:val="baseline"/>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color w:val="000000"/>
          <w:sz w:val="32"/>
          <w:szCs w:val="32"/>
        </w:rPr>
        <w:t>单位：万元</w:t>
      </w:r>
    </w:p>
    <w:tbl>
      <w:tblPr>
        <w:tblStyle w:val="39"/>
        <w:tblW w:w="8312" w:type="dxa"/>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1500"/>
        <w:gridCol w:w="1804"/>
        <w:gridCol w:w="1804"/>
        <w:gridCol w:w="1541"/>
        <w:gridCol w:w="1663"/>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Ex>
        <w:trPr>
          <w:trHeight w:val="500" w:hRule="atLeast"/>
        </w:trPr>
        <w:tc>
          <w:tcPr>
            <w:tcW w:w="1500" w:type="dxa"/>
            <w:vAlign w:val="center"/>
          </w:tcPr>
          <w:p>
            <w:pPr>
              <w:wordWrap w:val="0"/>
              <w:spacing w:line="560" w:lineRule="exact"/>
              <w:jc w:val="center"/>
              <w:textAlignment w:val="baseline"/>
              <w:rPr>
                <w:sz w:val="28"/>
                <w:szCs w:val="28"/>
              </w:rPr>
            </w:pPr>
            <w:r>
              <w:rPr>
                <w:rFonts w:ascii="DFSongGB-W5" w:hAnsi="DFSongGB-W5" w:eastAsia="DFSongGB-W5" w:cs="DFSongGB-W5"/>
                <w:color w:val="000000"/>
                <w:sz w:val="28"/>
                <w:szCs w:val="28"/>
              </w:rPr>
              <w:t>支出类别</w:t>
            </w:r>
          </w:p>
        </w:tc>
        <w:tc>
          <w:tcPr>
            <w:tcW w:w="1804" w:type="dxa"/>
            <w:vAlign w:val="center"/>
          </w:tcPr>
          <w:p>
            <w:pPr>
              <w:wordWrap w:val="0"/>
              <w:spacing w:line="560" w:lineRule="exact"/>
              <w:jc w:val="center"/>
              <w:textAlignment w:val="baseline"/>
              <w:rPr>
                <w:sz w:val="28"/>
                <w:szCs w:val="28"/>
              </w:rPr>
            </w:pPr>
            <w:r>
              <w:rPr>
                <w:rFonts w:ascii="DFSongGB-W5" w:hAnsi="DFSongGB-W5" w:eastAsia="DFSongGB-W5" w:cs="DFSongGB-W5"/>
                <w:color w:val="000000"/>
                <w:sz w:val="28"/>
                <w:szCs w:val="28"/>
              </w:rPr>
              <w:t>年初预算数</w:t>
            </w:r>
          </w:p>
        </w:tc>
        <w:tc>
          <w:tcPr>
            <w:tcW w:w="1804" w:type="dxa"/>
            <w:vAlign w:val="center"/>
          </w:tcPr>
          <w:p>
            <w:pPr>
              <w:wordWrap w:val="0"/>
              <w:spacing w:line="560" w:lineRule="exact"/>
              <w:jc w:val="center"/>
              <w:textAlignment w:val="baseline"/>
              <w:rPr>
                <w:sz w:val="28"/>
                <w:szCs w:val="28"/>
              </w:rPr>
            </w:pPr>
            <w:r>
              <w:rPr>
                <w:rFonts w:ascii="DFSongGB-W5" w:hAnsi="DFSongGB-W5" w:eastAsia="DFSongGB-W5" w:cs="DFSongGB-W5"/>
                <w:color w:val="000000"/>
                <w:sz w:val="28"/>
                <w:szCs w:val="28"/>
              </w:rPr>
              <w:t>调整后预算数</w:t>
            </w:r>
          </w:p>
        </w:tc>
        <w:tc>
          <w:tcPr>
            <w:tcW w:w="1541" w:type="dxa"/>
            <w:vAlign w:val="center"/>
          </w:tcPr>
          <w:p>
            <w:pPr>
              <w:wordWrap w:val="0"/>
              <w:spacing w:line="560" w:lineRule="exact"/>
              <w:jc w:val="center"/>
              <w:textAlignment w:val="baseline"/>
              <w:rPr>
                <w:sz w:val="28"/>
                <w:szCs w:val="28"/>
              </w:rPr>
            </w:pPr>
            <w:r>
              <w:rPr>
                <w:rFonts w:ascii="DFSongGB-W5" w:hAnsi="DFSongGB-W5" w:eastAsia="DFSongGB-W5" w:cs="DFSongGB-W5"/>
                <w:color w:val="000000"/>
                <w:sz w:val="28"/>
                <w:szCs w:val="28"/>
              </w:rPr>
              <w:t>实际支出数</w:t>
            </w:r>
          </w:p>
        </w:tc>
        <w:tc>
          <w:tcPr>
            <w:tcW w:w="1663" w:type="dxa"/>
            <w:vAlign w:val="center"/>
          </w:tcPr>
          <w:p>
            <w:pPr>
              <w:wordWrap w:val="0"/>
              <w:spacing w:line="560" w:lineRule="exact"/>
              <w:jc w:val="center"/>
              <w:textAlignment w:val="baseline"/>
              <w:rPr>
                <w:sz w:val="28"/>
                <w:szCs w:val="28"/>
              </w:rPr>
            </w:pPr>
            <w:r>
              <w:rPr>
                <w:rFonts w:ascii="DFSongGB-W5" w:hAnsi="DFSongGB-W5" w:eastAsia="DFSongGB-W5" w:cs="DFSongGB-W5"/>
                <w:color w:val="000000"/>
                <w:sz w:val="28"/>
                <w:szCs w:val="28"/>
              </w:rPr>
              <w:t>预算执行率</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Ex>
        <w:trPr>
          <w:trHeight w:val="500" w:hRule="atLeast"/>
        </w:trPr>
        <w:tc>
          <w:tcPr>
            <w:tcW w:w="1500" w:type="dxa"/>
            <w:vAlign w:val="center"/>
          </w:tcPr>
          <w:p>
            <w:pPr>
              <w:wordWrap w:val="0"/>
              <w:spacing w:line="560" w:lineRule="exact"/>
              <w:jc w:val="center"/>
              <w:textAlignment w:val="baseline"/>
              <w:rPr>
                <w:sz w:val="28"/>
                <w:szCs w:val="28"/>
              </w:rPr>
            </w:pPr>
            <w:r>
              <w:rPr>
                <w:rFonts w:ascii="DFSongGB-W5" w:hAnsi="DFSongGB-W5" w:eastAsia="DFSongGB-W5" w:cs="DFSongGB-W5"/>
                <w:color w:val="000000"/>
                <w:sz w:val="28"/>
                <w:szCs w:val="28"/>
              </w:rPr>
              <w:t>基本支出</w:t>
            </w:r>
          </w:p>
        </w:tc>
        <w:tc>
          <w:tcPr>
            <w:tcW w:w="1804" w:type="dxa"/>
            <w:vAlign w:val="bottom"/>
          </w:tcPr>
          <w:p>
            <w:pPr>
              <w:wordWrap w:val="0"/>
              <w:spacing w:line="560" w:lineRule="exact"/>
              <w:ind w:firstLine="560" w:firstLineChars="200"/>
              <w:jc w:val="center"/>
              <w:textAlignment w:val="baseline"/>
              <w:rPr>
                <w:sz w:val="28"/>
                <w:szCs w:val="28"/>
              </w:rPr>
            </w:pPr>
            <w:r>
              <w:rPr>
                <w:rFonts w:hint="eastAsia" w:ascii="DFSongGB-W5" w:hAnsi="DFSongGB-W5" w:eastAsia="宋体" w:cs="DFSongGB-W5"/>
                <w:color w:val="000000"/>
                <w:sz w:val="28"/>
                <w:szCs w:val="28"/>
              </w:rPr>
              <w:t>271.48</w:t>
            </w:r>
          </w:p>
        </w:tc>
        <w:tc>
          <w:tcPr>
            <w:tcW w:w="1804" w:type="dxa"/>
            <w:vAlign w:val="bottom"/>
          </w:tcPr>
          <w:p>
            <w:pPr>
              <w:wordWrap w:val="0"/>
              <w:spacing w:line="560" w:lineRule="exact"/>
              <w:ind w:firstLine="560" w:firstLineChars="200"/>
              <w:jc w:val="center"/>
              <w:textAlignment w:val="baseline"/>
              <w:rPr>
                <w:sz w:val="28"/>
                <w:szCs w:val="28"/>
              </w:rPr>
            </w:pPr>
            <w:r>
              <w:rPr>
                <w:rFonts w:hint="eastAsia" w:ascii="DFSongGB-W5" w:hAnsi="DFSongGB-W5" w:eastAsia="宋体" w:cs="DFSongGB-W5"/>
                <w:color w:val="000000"/>
                <w:sz w:val="28"/>
                <w:szCs w:val="28"/>
              </w:rPr>
              <w:t>282.60</w:t>
            </w:r>
          </w:p>
        </w:tc>
        <w:tc>
          <w:tcPr>
            <w:tcW w:w="1541" w:type="dxa"/>
            <w:vAlign w:val="bottom"/>
          </w:tcPr>
          <w:p>
            <w:pPr>
              <w:wordWrap w:val="0"/>
              <w:spacing w:line="560" w:lineRule="exact"/>
              <w:ind w:firstLine="560" w:firstLineChars="200"/>
              <w:jc w:val="center"/>
              <w:textAlignment w:val="baseline"/>
              <w:rPr>
                <w:sz w:val="28"/>
                <w:szCs w:val="28"/>
              </w:rPr>
            </w:pPr>
            <w:r>
              <w:rPr>
                <w:rFonts w:hint="eastAsia" w:ascii="DFSongGB-W5" w:hAnsi="DFSongGB-W5" w:eastAsia="宋体" w:cs="DFSongGB-W5"/>
                <w:color w:val="000000"/>
                <w:sz w:val="28"/>
                <w:szCs w:val="28"/>
              </w:rPr>
              <w:t>277.03</w:t>
            </w:r>
          </w:p>
        </w:tc>
        <w:tc>
          <w:tcPr>
            <w:tcW w:w="1663" w:type="dxa"/>
            <w:vAlign w:val="bottom"/>
          </w:tcPr>
          <w:p>
            <w:pPr>
              <w:wordWrap w:val="0"/>
              <w:spacing w:line="560" w:lineRule="exact"/>
              <w:ind w:firstLine="560" w:firstLineChars="200"/>
              <w:jc w:val="center"/>
              <w:textAlignment w:val="baseline"/>
              <w:rPr>
                <w:sz w:val="28"/>
                <w:szCs w:val="28"/>
              </w:rPr>
            </w:pPr>
            <w:r>
              <w:rPr>
                <w:rFonts w:hint="eastAsia" w:ascii="DFSongGB-W5" w:hAnsi="DFSongGB-W5" w:eastAsia="宋体" w:cs="DFSongGB-W5"/>
                <w:color w:val="000000"/>
                <w:sz w:val="28"/>
                <w:szCs w:val="28"/>
              </w:rPr>
              <w:t>98.03%</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Ex>
        <w:trPr>
          <w:trHeight w:val="540" w:hRule="atLeast"/>
        </w:trPr>
        <w:tc>
          <w:tcPr>
            <w:tcW w:w="1500" w:type="dxa"/>
            <w:vAlign w:val="center"/>
          </w:tcPr>
          <w:p>
            <w:pPr>
              <w:wordWrap w:val="0"/>
              <w:spacing w:line="560" w:lineRule="exact"/>
              <w:jc w:val="center"/>
              <w:textAlignment w:val="baseline"/>
              <w:rPr>
                <w:sz w:val="28"/>
                <w:szCs w:val="28"/>
              </w:rPr>
            </w:pPr>
            <w:r>
              <w:rPr>
                <w:rFonts w:ascii="DFSongGB-W5" w:hAnsi="DFSongGB-W5" w:eastAsia="DFSongGB-W5" w:cs="DFSongGB-W5"/>
                <w:color w:val="000000"/>
                <w:sz w:val="28"/>
                <w:szCs w:val="28"/>
              </w:rPr>
              <w:t>项目支出</w:t>
            </w:r>
          </w:p>
        </w:tc>
        <w:tc>
          <w:tcPr>
            <w:tcW w:w="1804" w:type="dxa"/>
            <w:vAlign w:val="bottom"/>
          </w:tcPr>
          <w:p>
            <w:pPr>
              <w:wordWrap w:val="0"/>
              <w:spacing w:line="560" w:lineRule="exact"/>
              <w:ind w:firstLine="560" w:firstLineChars="200"/>
              <w:jc w:val="center"/>
              <w:textAlignment w:val="baseline"/>
              <w:rPr>
                <w:sz w:val="28"/>
                <w:szCs w:val="28"/>
              </w:rPr>
            </w:pPr>
            <w:r>
              <w:rPr>
                <w:rFonts w:hint="eastAsia" w:ascii="DFSongGB-W5" w:hAnsi="DFSongGB-W5" w:eastAsia="宋体" w:cs="DFSongGB-W5"/>
                <w:color w:val="000000"/>
                <w:sz w:val="28"/>
                <w:szCs w:val="28"/>
              </w:rPr>
              <w:t>0.00</w:t>
            </w:r>
          </w:p>
        </w:tc>
        <w:tc>
          <w:tcPr>
            <w:tcW w:w="1804" w:type="dxa"/>
            <w:vAlign w:val="bottom"/>
          </w:tcPr>
          <w:p>
            <w:pPr>
              <w:wordWrap w:val="0"/>
              <w:spacing w:line="560" w:lineRule="exact"/>
              <w:ind w:firstLine="560" w:firstLineChars="200"/>
              <w:jc w:val="center"/>
              <w:textAlignment w:val="baseline"/>
              <w:rPr>
                <w:sz w:val="28"/>
                <w:szCs w:val="28"/>
              </w:rPr>
            </w:pPr>
            <w:r>
              <w:rPr>
                <w:rFonts w:hint="eastAsia" w:ascii="DFSongGB-W5" w:hAnsi="DFSongGB-W5" w:eastAsia="宋体" w:cs="DFSongGB-W5"/>
                <w:color w:val="000000"/>
                <w:sz w:val="28"/>
                <w:szCs w:val="28"/>
              </w:rPr>
              <w:t>0.00</w:t>
            </w:r>
          </w:p>
        </w:tc>
        <w:tc>
          <w:tcPr>
            <w:tcW w:w="1541" w:type="dxa"/>
            <w:vAlign w:val="center"/>
          </w:tcPr>
          <w:p>
            <w:pPr>
              <w:wordWrap w:val="0"/>
              <w:spacing w:line="560" w:lineRule="exact"/>
              <w:ind w:firstLine="560" w:firstLineChars="200"/>
              <w:jc w:val="center"/>
              <w:textAlignment w:val="baseline"/>
              <w:rPr>
                <w:sz w:val="28"/>
                <w:szCs w:val="28"/>
              </w:rPr>
            </w:pPr>
            <w:r>
              <w:rPr>
                <w:rFonts w:hint="eastAsia" w:ascii="DFSongGB-W5" w:hAnsi="DFSongGB-W5" w:eastAsia="宋体" w:cs="DFSongGB-W5"/>
                <w:color w:val="000000"/>
                <w:sz w:val="28"/>
                <w:szCs w:val="28"/>
              </w:rPr>
              <w:t>0.00</w:t>
            </w:r>
          </w:p>
        </w:tc>
        <w:tc>
          <w:tcPr>
            <w:tcW w:w="1663" w:type="dxa"/>
            <w:vAlign w:val="center"/>
          </w:tcPr>
          <w:p>
            <w:pPr>
              <w:wordWrap w:val="0"/>
              <w:spacing w:line="560" w:lineRule="exact"/>
              <w:ind w:firstLine="560" w:firstLineChars="200"/>
              <w:jc w:val="center"/>
              <w:textAlignment w:val="baseline"/>
              <w:rPr>
                <w:rFonts w:eastAsia="宋体"/>
                <w:sz w:val="28"/>
                <w:szCs w:val="28"/>
              </w:rPr>
            </w:pPr>
            <w:r>
              <w:rPr>
                <w:rFonts w:hint="eastAsia" w:ascii="DFSongGB-W5" w:hAnsi="DFSongGB-W5" w:eastAsia="宋体" w:cs="DFSongGB-W5"/>
                <w:color w:val="000000"/>
                <w:sz w:val="28"/>
                <w:szCs w:val="28"/>
              </w:rPr>
              <w:t>0.00%</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Ex>
        <w:trPr>
          <w:trHeight w:val="480" w:hRule="atLeast"/>
        </w:trPr>
        <w:tc>
          <w:tcPr>
            <w:tcW w:w="1500" w:type="dxa"/>
            <w:vAlign w:val="center"/>
          </w:tcPr>
          <w:p>
            <w:pPr>
              <w:wordWrap w:val="0"/>
              <w:spacing w:line="560" w:lineRule="exact"/>
              <w:jc w:val="center"/>
              <w:textAlignment w:val="baseline"/>
              <w:rPr>
                <w:sz w:val="28"/>
                <w:szCs w:val="28"/>
              </w:rPr>
            </w:pPr>
            <w:r>
              <w:rPr>
                <w:rFonts w:ascii="DFSongGB-W5" w:hAnsi="DFSongGB-W5" w:eastAsia="DFSongGB-W5" w:cs="DFSongGB-W5"/>
                <w:color w:val="000000"/>
                <w:sz w:val="28"/>
                <w:szCs w:val="28"/>
              </w:rPr>
              <w:t>合计</w:t>
            </w:r>
          </w:p>
        </w:tc>
        <w:tc>
          <w:tcPr>
            <w:tcW w:w="1804" w:type="dxa"/>
            <w:vAlign w:val="bottom"/>
          </w:tcPr>
          <w:p>
            <w:pPr>
              <w:wordWrap w:val="0"/>
              <w:spacing w:line="560" w:lineRule="exact"/>
              <w:ind w:firstLine="560" w:firstLineChars="200"/>
              <w:jc w:val="center"/>
              <w:textAlignment w:val="baseline"/>
              <w:rPr>
                <w:sz w:val="28"/>
                <w:szCs w:val="28"/>
              </w:rPr>
            </w:pPr>
            <w:r>
              <w:rPr>
                <w:rFonts w:hint="eastAsia" w:ascii="DFSongGB-W5" w:hAnsi="DFSongGB-W5" w:eastAsia="宋体" w:cs="DFSongGB-W5"/>
                <w:color w:val="000000"/>
                <w:sz w:val="28"/>
                <w:szCs w:val="28"/>
              </w:rPr>
              <w:t>271.48</w:t>
            </w:r>
          </w:p>
        </w:tc>
        <w:tc>
          <w:tcPr>
            <w:tcW w:w="1804" w:type="dxa"/>
            <w:vAlign w:val="center"/>
          </w:tcPr>
          <w:p>
            <w:pPr>
              <w:wordWrap w:val="0"/>
              <w:spacing w:line="560" w:lineRule="exact"/>
              <w:ind w:firstLine="560" w:firstLineChars="200"/>
              <w:jc w:val="center"/>
              <w:textAlignment w:val="baseline"/>
              <w:rPr>
                <w:sz w:val="28"/>
                <w:szCs w:val="28"/>
              </w:rPr>
            </w:pPr>
            <w:r>
              <w:rPr>
                <w:rFonts w:hint="eastAsia" w:ascii="DFSongGB-W5" w:hAnsi="DFSongGB-W5" w:eastAsia="宋体" w:cs="DFSongGB-W5"/>
                <w:color w:val="000000"/>
                <w:sz w:val="28"/>
                <w:szCs w:val="28"/>
              </w:rPr>
              <w:t>282.60</w:t>
            </w:r>
          </w:p>
        </w:tc>
        <w:tc>
          <w:tcPr>
            <w:tcW w:w="1541" w:type="dxa"/>
            <w:vAlign w:val="center"/>
          </w:tcPr>
          <w:p>
            <w:pPr>
              <w:wordWrap w:val="0"/>
              <w:spacing w:line="560" w:lineRule="exact"/>
              <w:ind w:firstLine="560" w:firstLineChars="200"/>
              <w:jc w:val="center"/>
              <w:textAlignment w:val="baseline"/>
              <w:rPr>
                <w:sz w:val="28"/>
                <w:szCs w:val="28"/>
              </w:rPr>
            </w:pPr>
            <w:r>
              <w:rPr>
                <w:rFonts w:hint="eastAsia" w:ascii="DFSongGB-W5" w:hAnsi="DFSongGB-W5" w:eastAsia="宋体" w:cs="DFSongGB-W5"/>
                <w:color w:val="000000"/>
                <w:sz w:val="28"/>
                <w:szCs w:val="28"/>
              </w:rPr>
              <w:t>277.03</w:t>
            </w:r>
          </w:p>
        </w:tc>
        <w:tc>
          <w:tcPr>
            <w:tcW w:w="1663" w:type="dxa"/>
            <w:vAlign w:val="center"/>
          </w:tcPr>
          <w:p>
            <w:pPr>
              <w:wordWrap w:val="0"/>
              <w:spacing w:line="560" w:lineRule="exact"/>
              <w:ind w:firstLine="560" w:firstLineChars="200"/>
              <w:jc w:val="center"/>
              <w:textAlignment w:val="baseline"/>
              <w:rPr>
                <w:sz w:val="28"/>
                <w:szCs w:val="28"/>
              </w:rPr>
            </w:pPr>
            <w:r>
              <w:rPr>
                <w:rFonts w:hint="eastAsia" w:ascii="DFSongGB-W5" w:hAnsi="DFSongGB-W5" w:eastAsia="宋体" w:cs="DFSongGB-W5"/>
                <w:color w:val="000000"/>
                <w:sz w:val="28"/>
                <w:szCs w:val="28"/>
              </w:rPr>
              <w:t>98.03%</w:t>
            </w:r>
          </w:p>
        </w:tc>
      </w:tr>
    </w:tbl>
    <w:p>
      <w:pPr>
        <w:keepNext w:val="0"/>
        <w:keepLines w:val="0"/>
        <w:pageBreakBefore w:val="0"/>
        <w:widowControl w:val="0"/>
        <w:kinsoku/>
        <w:wordWrap w:val="0"/>
        <w:overflowPunct/>
        <w:topLinePunct w:val="0"/>
        <w:autoSpaceDE/>
        <w:autoSpaceDN/>
        <w:bidi w:val="0"/>
        <w:adjustRightInd w:val="0"/>
        <w:snapToGrid w:val="0"/>
        <w:spacing w:line="560" w:lineRule="exact"/>
        <w:ind w:firstLine="640" w:firstLineChars="200"/>
        <w:textAlignment w:val="baseline"/>
        <w:rPr>
          <w:rFonts w:hint="eastAsia" w:ascii="方正仿宋_GBK" w:hAnsi="方正仿宋_GBK" w:eastAsia="方正仿宋_GBK" w:cs="方正仿宋_GBK"/>
          <w:sz w:val="32"/>
          <w:szCs w:val="32"/>
        </w:rPr>
      </w:pPr>
      <w:r>
        <w:rPr>
          <w:rFonts w:hint="eastAsia" w:ascii="方正仿宋_GBK" w:hAnsi="方正仿宋_GBK" w:eastAsia="方正仿宋_GBK" w:cs="方正仿宋_GBK"/>
          <w:color w:val="000000"/>
          <w:sz w:val="32"/>
          <w:szCs w:val="32"/>
        </w:rPr>
        <w:t>2.三公经费情况</w:t>
      </w:r>
    </w:p>
    <w:p>
      <w:pPr>
        <w:keepNext w:val="0"/>
        <w:keepLines w:val="0"/>
        <w:pageBreakBefore w:val="0"/>
        <w:widowControl w:val="0"/>
        <w:kinsoku/>
        <w:wordWrap w:val="0"/>
        <w:overflowPunct/>
        <w:topLinePunct w:val="0"/>
        <w:autoSpaceDE/>
        <w:autoSpaceDN/>
        <w:bidi w:val="0"/>
        <w:adjustRightInd w:val="0"/>
        <w:snapToGrid w:val="0"/>
        <w:spacing w:line="560" w:lineRule="exact"/>
        <w:ind w:firstLine="640" w:firstLineChars="200"/>
        <w:textAlignment w:val="baseline"/>
        <w:rPr>
          <w:rFonts w:hint="eastAsia" w:ascii="方正仿宋_GBK" w:hAnsi="方正仿宋_GBK" w:eastAsia="方正仿宋_GBK" w:cs="方正仿宋_GBK"/>
          <w:sz w:val="32"/>
          <w:szCs w:val="32"/>
        </w:rPr>
      </w:pPr>
      <w:r>
        <w:rPr>
          <w:rFonts w:hint="eastAsia" w:ascii="方正仿宋_GBK" w:hAnsi="方正仿宋_GBK" w:eastAsia="方正仿宋_GBK" w:cs="方正仿宋_GBK"/>
          <w:color w:val="000000"/>
          <w:sz w:val="32"/>
          <w:szCs w:val="32"/>
        </w:rPr>
        <w:t>无。</w:t>
      </w:r>
    </w:p>
    <w:p>
      <w:pPr>
        <w:keepNext w:val="0"/>
        <w:keepLines w:val="0"/>
        <w:pageBreakBefore w:val="0"/>
        <w:widowControl w:val="0"/>
        <w:kinsoku/>
        <w:wordWrap w:val="0"/>
        <w:overflowPunct/>
        <w:topLinePunct w:val="0"/>
        <w:autoSpaceDE/>
        <w:autoSpaceDN/>
        <w:bidi w:val="0"/>
        <w:adjustRightInd w:val="0"/>
        <w:snapToGrid w:val="0"/>
        <w:spacing w:line="560" w:lineRule="exact"/>
        <w:ind w:firstLine="640" w:firstLineChars="200"/>
        <w:textAlignment w:val="baseline"/>
        <w:rPr>
          <w:rFonts w:hint="eastAsia" w:ascii="方正仿宋_GBK" w:hAnsi="方正仿宋_GBK" w:eastAsia="方正仿宋_GBK" w:cs="方正仿宋_GBK"/>
          <w:sz w:val="32"/>
          <w:szCs w:val="32"/>
        </w:rPr>
      </w:pPr>
      <w:r>
        <w:rPr>
          <w:rFonts w:hint="eastAsia" w:ascii="方正仿宋_GBK" w:hAnsi="方正仿宋_GBK" w:eastAsia="方正仿宋_GBK" w:cs="方正仿宋_GBK"/>
          <w:color w:val="000000"/>
          <w:sz w:val="32"/>
          <w:szCs w:val="32"/>
        </w:rPr>
        <w:t>3.专项资金情况</w:t>
      </w:r>
    </w:p>
    <w:p>
      <w:pPr>
        <w:keepNext w:val="0"/>
        <w:keepLines w:val="0"/>
        <w:pageBreakBefore w:val="0"/>
        <w:widowControl w:val="0"/>
        <w:kinsoku/>
        <w:wordWrap w:val="0"/>
        <w:overflowPunct/>
        <w:topLinePunct w:val="0"/>
        <w:autoSpaceDE/>
        <w:autoSpaceDN/>
        <w:bidi w:val="0"/>
        <w:adjustRightInd w:val="0"/>
        <w:snapToGrid w:val="0"/>
        <w:spacing w:line="560" w:lineRule="exact"/>
        <w:ind w:firstLine="640" w:firstLineChars="200"/>
        <w:textAlignment w:val="baseline"/>
        <w:rPr>
          <w:rFonts w:hint="eastAsia" w:ascii="方正仿宋_GBK" w:hAnsi="方正仿宋_GBK" w:eastAsia="方正仿宋_GBK" w:cs="方正仿宋_GBK"/>
          <w:sz w:val="32"/>
          <w:szCs w:val="32"/>
        </w:rPr>
      </w:pPr>
      <w:r>
        <w:rPr>
          <w:rFonts w:hint="eastAsia" w:ascii="方正仿宋_GBK" w:hAnsi="方正仿宋_GBK" w:eastAsia="方正仿宋_GBK" w:cs="方正仿宋_GBK"/>
          <w:color w:val="000000"/>
          <w:sz w:val="32"/>
          <w:szCs w:val="32"/>
        </w:rPr>
        <w:t>无</w:t>
      </w:r>
    </w:p>
    <w:p>
      <w:pPr>
        <w:keepNext w:val="0"/>
        <w:keepLines w:val="0"/>
        <w:pageBreakBefore w:val="0"/>
        <w:widowControl w:val="0"/>
        <w:kinsoku/>
        <w:wordWrap w:val="0"/>
        <w:overflowPunct/>
        <w:topLinePunct w:val="0"/>
        <w:autoSpaceDE/>
        <w:autoSpaceDN/>
        <w:bidi w:val="0"/>
        <w:adjustRightInd w:val="0"/>
        <w:snapToGrid w:val="0"/>
        <w:spacing w:line="560" w:lineRule="exact"/>
        <w:ind w:firstLine="640" w:firstLineChars="200"/>
        <w:textAlignment w:val="baseline"/>
        <w:rPr>
          <w:rFonts w:hint="eastAsia" w:ascii="方正楷体_GBK" w:hAnsi="方正楷体_GBK" w:eastAsia="方正楷体_GBK" w:cs="方正楷体_GBK"/>
          <w:color w:val="000000"/>
          <w:sz w:val="32"/>
          <w:szCs w:val="32"/>
        </w:rPr>
      </w:pPr>
      <w:r>
        <w:rPr>
          <w:rFonts w:hint="eastAsia" w:ascii="方正楷体_GBK" w:hAnsi="方正楷体_GBK" w:eastAsia="方正楷体_GBK" w:cs="方正楷体_GBK"/>
          <w:color w:val="000000"/>
          <w:sz w:val="32"/>
          <w:szCs w:val="32"/>
        </w:rPr>
        <w:t>(三)部门(单位)绩效目标</w:t>
      </w:r>
    </w:p>
    <w:p>
      <w:pPr>
        <w:keepNext w:val="0"/>
        <w:keepLines w:val="0"/>
        <w:pageBreakBefore w:val="0"/>
        <w:widowControl w:val="0"/>
        <w:kinsoku/>
        <w:wordWrap w:val="0"/>
        <w:overflowPunct/>
        <w:topLinePunct w:val="0"/>
        <w:autoSpaceDE/>
        <w:autoSpaceDN/>
        <w:bidi w:val="0"/>
        <w:adjustRightInd w:val="0"/>
        <w:snapToGrid w:val="0"/>
        <w:spacing w:line="560" w:lineRule="exact"/>
        <w:ind w:firstLine="640" w:firstLineChars="200"/>
        <w:textAlignment w:val="baseline"/>
        <w:rPr>
          <w:rFonts w:hint="eastAsia" w:ascii="方正仿宋_GBK" w:hAnsi="方正仿宋_GBK" w:eastAsia="方正仿宋_GBK" w:cs="方正仿宋_GBK"/>
          <w:sz w:val="32"/>
          <w:szCs w:val="32"/>
        </w:rPr>
      </w:pPr>
      <w:r>
        <w:rPr>
          <w:rFonts w:hint="eastAsia" w:ascii="方正仿宋_GBK" w:hAnsi="方正仿宋_GBK" w:eastAsia="方正仿宋_GBK" w:cs="方正仿宋_GBK"/>
          <w:color w:val="000000"/>
          <w:sz w:val="32"/>
          <w:szCs w:val="32"/>
        </w:rPr>
        <w:t>1.中长期目标</w:t>
      </w:r>
    </w:p>
    <w:p>
      <w:pPr>
        <w:wordWrap w:val="0"/>
        <w:spacing w:line="560" w:lineRule="exact"/>
        <w:ind w:firstLine="640" w:firstLineChars="200"/>
        <w:textAlignment w:val="baseline"/>
        <w:rPr>
          <w:rFonts w:ascii="仿宋" w:hAnsi="仿宋" w:eastAsia="仿宋" w:cs="仿宋"/>
          <w:color w:val="000000"/>
          <w:sz w:val="32"/>
          <w:szCs w:val="32"/>
        </w:rPr>
      </w:pPr>
      <w:r>
        <w:rPr>
          <w:rFonts w:hint="eastAsia" w:ascii="方正仿宋_GBK" w:hAnsi="方正仿宋_GBK" w:eastAsia="方正仿宋_GBK" w:cs="方正仿宋_GBK"/>
          <w:color w:val="000000"/>
          <w:sz w:val="32"/>
          <w:szCs w:val="32"/>
        </w:rPr>
        <w:t>在市局、交管局的坚强领导下，根据总体工作部署和要求，积极配合深入推进“五个现代警务战略”工作，努力打造交通安全法制教育品牌；同时，深化实施民生服务惠改、加大法规教育科技化投入，创建严格管理与优质教育服务相结合的新模式；强化推进交通安全法制教育向社会纵深发展，达到有效减少道路交通安全隐患的最终目标。</w:t>
      </w:r>
    </w:p>
    <w:p>
      <w:pPr>
        <w:keepNext w:val="0"/>
        <w:keepLines w:val="0"/>
        <w:pageBreakBefore w:val="0"/>
        <w:widowControl w:val="0"/>
        <w:kinsoku/>
        <w:wordWrap w:val="0"/>
        <w:overflowPunct/>
        <w:topLinePunct w:val="0"/>
        <w:autoSpaceDE/>
        <w:autoSpaceDN/>
        <w:bidi w:val="0"/>
        <w:adjustRightInd w:val="0"/>
        <w:snapToGrid w:val="0"/>
        <w:spacing w:line="560" w:lineRule="exact"/>
        <w:ind w:firstLine="640" w:firstLineChars="200"/>
        <w:textAlignment w:val="baseline"/>
        <w:rPr>
          <w:rFonts w:hint="eastAsia" w:ascii="方正仿宋_GBK" w:hAnsi="方正仿宋_GBK" w:eastAsia="方正仿宋_GBK" w:cs="方正仿宋_GBK"/>
          <w:sz w:val="32"/>
          <w:szCs w:val="32"/>
        </w:rPr>
      </w:pPr>
      <w:r>
        <w:rPr>
          <w:rFonts w:hint="eastAsia" w:ascii="方正仿宋_GBK" w:hAnsi="方正仿宋_GBK" w:eastAsia="方正仿宋_GBK" w:cs="方正仿宋_GBK"/>
          <w:color w:val="000000"/>
          <w:sz w:val="32"/>
          <w:szCs w:val="32"/>
        </w:rPr>
        <w:t>2.年度绩效目标</w:t>
      </w:r>
    </w:p>
    <w:p>
      <w:pPr>
        <w:numPr>
          <w:ilvl w:val="0"/>
          <w:numId w:val="1"/>
        </w:numPr>
        <w:wordWrap w:val="0"/>
        <w:spacing w:line="560" w:lineRule="exact"/>
        <w:ind w:firstLine="640" w:firstLineChars="200"/>
        <w:textAlignment w:val="baseline"/>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以公安交通管理业务为根本，进一步服务群众，有效发挥交通安全法制教育的各项职能；</w:t>
      </w:r>
    </w:p>
    <w:p>
      <w:pPr>
        <w:numPr>
          <w:ilvl w:val="0"/>
          <w:numId w:val="1"/>
        </w:numPr>
        <w:wordWrap w:val="0"/>
        <w:spacing w:line="560" w:lineRule="exact"/>
        <w:ind w:firstLine="640" w:firstLineChars="200"/>
        <w:textAlignment w:val="baseline"/>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履行对违法记分驾驶人、重点监管车辆驾驶人的年度交通法规教育，同时加强重点人群的法制教育和管控，确保教育率全覆盖；</w:t>
      </w:r>
    </w:p>
    <w:p>
      <w:pPr>
        <w:numPr>
          <w:ilvl w:val="0"/>
          <w:numId w:val="1"/>
        </w:numPr>
        <w:wordWrap w:val="0"/>
        <w:spacing w:line="560" w:lineRule="exact"/>
        <w:ind w:firstLine="640" w:firstLineChars="200"/>
        <w:textAlignment w:val="baseline"/>
        <w:rPr>
          <w:rFonts w:hint="eastAsia" w:ascii="方正仿宋_GBK" w:hAnsi="方正仿宋_GBK" w:eastAsia="方正仿宋_GBK" w:cs="方正仿宋_GBK"/>
          <w:sz w:val="32"/>
          <w:szCs w:val="32"/>
        </w:rPr>
      </w:pPr>
      <w:r>
        <w:rPr>
          <w:rFonts w:hint="eastAsia" w:ascii="方正仿宋_GBK" w:hAnsi="方正仿宋_GBK" w:eastAsia="方正仿宋_GBK" w:cs="方正仿宋_GBK"/>
          <w:color w:val="000000"/>
          <w:sz w:val="32"/>
          <w:szCs w:val="32"/>
        </w:rPr>
        <w:t>深入推进交通安全、文明驾驶、职业道德等教育工作向社会面纵深发展；同时辅助公安交管部门做好法规宣传教育工作。</w:t>
      </w:r>
    </w:p>
    <w:p>
      <w:pPr>
        <w:pStyle w:val="2"/>
        <w:keepNext/>
        <w:keepLines/>
        <w:pageBreakBefore w:val="0"/>
        <w:widowControl w:val="0"/>
        <w:numPr>
          <w:ilvl w:val="0"/>
          <w:numId w:val="0"/>
        </w:numPr>
        <w:kinsoku/>
        <w:wordWrap/>
        <w:overflowPunct/>
        <w:topLinePunct w:val="0"/>
        <w:autoSpaceDE/>
        <w:autoSpaceDN/>
        <w:bidi w:val="0"/>
        <w:adjustRightInd w:val="0"/>
        <w:snapToGrid w:val="0"/>
        <w:spacing w:after="0" w:afterLines="0" w:line="560" w:lineRule="exact"/>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lang w:eastAsia="zh-CN"/>
        </w:rPr>
        <w:t>二</w:t>
      </w:r>
      <w:r>
        <w:rPr>
          <w:rFonts w:hint="eastAsia" w:ascii="方正黑体_GBK" w:hAnsi="方正黑体_GBK" w:eastAsia="方正黑体_GBK" w:cs="方正黑体_GBK"/>
          <w:sz w:val="32"/>
          <w:szCs w:val="32"/>
        </w:rPr>
        <w:t>、评价结论</w:t>
      </w:r>
    </w:p>
    <w:p>
      <w:pPr>
        <w:keepNext w:val="0"/>
        <w:keepLines w:val="0"/>
        <w:pageBreakBefore w:val="0"/>
        <w:widowControl w:val="0"/>
        <w:kinsoku/>
        <w:wordWrap w:val="0"/>
        <w:overflowPunct/>
        <w:topLinePunct w:val="0"/>
        <w:autoSpaceDE/>
        <w:autoSpaceDN/>
        <w:bidi w:val="0"/>
        <w:adjustRightInd w:val="0"/>
        <w:snapToGrid w:val="0"/>
        <w:spacing w:line="560" w:lineRule="exact"/>
        <w:ind w:firstLine="640" w:firstLineChars="200"/>
        <w:textAlignment w:val="baseline"/>
        <w:rPr>
          <w:rFonts w:hint="eastAsia" w:ascii="方正楷体_GBK" w:hAnsi="方正楷体_GBK" w:eastAsia="方正楷体_GBK" w:cs="方正楷体_GBK"/>
          <w:sz w:val="32"/>
          <w:szCs w:val="32"/>
        </w:rPr>
      </w:pPr>
      <w:r>
        <w:rPr>
          <w:rFonts w:hint="eastAsia" w:ascii="方正楷体_GBK" w:hAnsi="方正楷体_GBK" w:eastAsia="方正楷体_GBK" w:cs="方正楷体_GBK"/>
          <w:color w:val="000000"/>
          <w:sz w:val="32"/>
          <w:szCs w:val="32"/>
        </w:rPr>
        <w:t>(一)评价对象与范围</w:t>
      </w:r>
    </w:p>
    <w:p>
      <w:pPr>
        <w:wordWrap w:val="0"/>
        <w:spacing w:line="560" w:lineRule="exact"/>
        <w:ind w:firstLine="640" w:firstLineChars="200"/>
        <w:textAlignment w:val="baseline"/>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通过对市财政2025年度安排的预算配置、预算资金管理、资产管理、职责履行、履职效益等内容的绩效考评，提高财政资金的使用效率，为财政部门预算管理提供决策依据。</w:t>
      </w:r>
    </w:p>
    <w:p>
      <w:pPr>
        <w:keepNext w:val="0"/>
        <w:keepLines w:val="0"/>
        <w:pageBreakBefore w:val="0"/>
        <w:widowControl w:val="0"/>
        <w:kinsoku/>
        <w:wordWrap w:val="0"/>
        <w:overflowPunct/>
        <w:topLinePunct w:val="0"/>
        <w:autoSpaceDE/>
        <w:autoSpaceDN/>
        <w:bidi w:val="0"/>
        <w:adjustRightInd w:val="0"/>
        <w:snapToGrid w:val="0"/>
        <w:spacing w:line="560" w:lineRule="exact"/>
        <w:ind w:firstLine="640" w:firstLineChars="200"/>
        <w:textAlignment w:val="baseline"/>
        <w:rPr>
          <w:rFonts w:hint="eastAsia" w:ascii="方正楷体_GBK" w:hAnsi="方正楷体_GBK" w:eastAsia="方正楷体_GBK" w:cs="方正楷体_GBK"/>
          <w:sz w:val="32"/>
          <w:szCs w:val="32"/>
        </w:rPr>
      </w:pPr>
      <w:r>
        <w:rPr>
          <w:rFonts w:hint="eastAsia" w:ascii="方正楷体_GBK" w:hAnsi="方正楷体_GBK" w:eastAsia="方正楷体_GBK" w:cs="方正楷体_GBK"/>
          <w:color w:val="000000"/>
          <w:sz w:val="32"/>
          <w:szCs w:val="32"/>
        </w:rPr>
        <w:t>(二)绩效评价结论</w:t>
      </w:r>
    </w:p>
    <w:p>
      <w:pPr>
        <w:wordWrap w:val="0"/>
        <w:spacing w:line="560" w:lineRule="exact"/>
        <w:ind w:firstLine="640" w:firstLineChars="200"/>
        <w:textAlignment w:val="baseline"/>
        <w:rPr>
          <w:rFonts w:hint="eastAsia" w:ascii="方正仿宋_GBK" w:hAnsi="方正仿宋_GBK" w:eastAsia="方正仿宋_GBK" w:cs="方正仿宋_GBK"/>
          <w:color w:val="000000"/>
          <w:sz w:val="32"/>
          <w:szCs w:val="32"/>
        </w:rPr>
      </w:pPr>
      <w:r>
        <w:rPr>
          <w:rFonts w:hint="eastAsia" w:ascii="方正仿宋_GBK" w:hAnsi="方正仿宋_GBK" w:eastAsia="方正仿宋_GBK" w:cs="方正仿宋_GBK"/>
          <w:color w:val="000000"/>
          <w:sz w:val="32"/>
          <w:szCs w:val="32"/>
        </w:rPr>
        <w:t>经综合评价，2025年度南京市公安局交通安全法制教育中心整体绩效评价得分99分，等级为“优”。整体而言，2025年度在市局、交管局、车管所的坚强领导下，紧紧围绕全年工作目标，按照各项工作要求，切实开展好广大驾驶人的交通安全法制教育工作，为驾驶人提供全方面的服务工作，全年工作做到“遇事必处理、处理必满意”，实现了管理型向服务型的转变。同时加强内部队伍管理，进一步提升法制意识、服务意识、教育意识，提升执法公信力。通过努力工作，为营造我市安全、畅通、平安的交通环境做出了一定贡献。</w:t>
      </w:r>
    </w:p>
    <w:p>
      <w:pPr>
        <w:pStyle w:val="2"/>
        <w:keepNext/>
        <w:keepLines/>
        <w:pageBreakBefore w:val="0"/>
        <w:widowControl w:val="0"/>
        <w:kinsoku/>
        <w:wordWrap/>
        <w:overflowPunct/>
        <w:topLinePunct w:val="0"/>
        <w:autoSpaceDE/>
        <w:autoSpaceDN/>
        <w:bidi w:val="0"/>
        <w:adjustRightInd w:val="0"/>
        <w:snapToGrid w:val="0"/>
        <w:spacing w:after="0" w:afterLines="0" w:line="560" w:lineRule="exact"/>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三、部门履职成效</w:t>
      </w:r>
    </w:p>
    <w:p>
      <w:pPr>
        <w:wordWrap w:val="0"/>
        <w:spacing w:line="560" w:lineRule="exact"/>
        <w:ind w:firstLine="640" w:firstLineChars="200"/>
        <w:textAlignment w:val="baseline"/>
        <w:rPr>
          <w:rFonts w:hint="eastAsia" w:ascii="方正仿宋_GBK" w:hAnsi="方正仿宋_GBK" w:eastAsia="方正仿宋_GBK" w:cs="方正仿宋_GBK"/>
          <w:sz w:val="32"/>
          <w:szCs w:val="32"/>
        </w:rPr>
      </w:pPr>
      <w:r>
        <w:rPr>
          <w:rFonts w:hint="eastAsia" w:ascii="方正仿宋_GBK" w:hAnsi="方正仿宋_GBK" w:eastAsia="方正仿宋_GBK" w:cs="方正仿宋_GBK"/>
          <w:color w:val="000000"/>
          <w:sz w:val="32"/>
          <w:szCs w:val="32"/>
        </w:rPr>
        <w:t>我单位在交管局以及车管大队的统一领导下，深入践行“创新、主动、规范、协同、精细、务实”的新工作理念，全年协助做好“春季源头监管六项措施”“夏季靖安行动”“1+3+2+2质态提升行动”“秋冬季固安行动”深化实施现代警务战略，依托交通法制安全教育工作，进一步提高市民交通安全意识，为营造和谐、平安、文明的交通环境做出应有贡献。</w:t>
      </w:r>
    </w:p>
    <w:p>
      <w:pPr>
        <w:pStyle w:val="2"/>
        <w:keepNext/>
        <w:keepLines/>
        <w:pageBreakBefore w:val="0"/>
        <w:widowControl w:val="0"/>
        <w:kinsoku/>
        <w:wordWrap/>
        <w:overflowPunct/>
        <w:topLinePunct w:val="0"/>
        <w:autoSpaceDE/>
        <w:autoSpaceDN/>
        <w:bidi w:val="0"/>
        <w:adjustRightInd w:val="0"/>
        <w:snapToGrid w:val="0"/>
        <w:spacing w:after="0" w:afterLines="0" w:line="560" w:lineRule="exact"/>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四、存在问题及原因分析</w:t>
      </w:r>
    </w:p>
    <w:p>
      <w:pPr>
        <w:wordWrap w:val="0"/>
        <w:spacing w:line="560" w:lineRule="exact"/>
        <w:ind w:firstLine="640" w:firstLineChars="200"/>
        <w:textAlignment w:val="baseline"/>
        <w:rPr>
          <w:rFonts w:hint="eastAsia" w:ascii="方正仿宋_GBK" w:hAnsi="方正仿宋_GBK" w:eastAsia="方正仿宋_GBK" w:cs="方正仿宋_GBK"/>
          <w:sz w:val="32"/>
          <w:szCs w:val="32"/>
        </w:rPr>
      </w:pPr>
      <w:r>
        <w:rPr>
          <w:rFonts w:hint="eastAsia" w:ascii="方正仿宋_GBK" w:hAnsi="方正仿宋_GBK" w:eastAsia="方正仿宋_GBK" w:cs="方正仿宋_GBK"/>
          <w:color w:val="000000"/>
          <w:sz w:val="32"/>
          <w:szCs w:val="32"/>
        </w:rPr>
        <w:t>一是自评价经验不足，站位不高，自评价人员通常站在本单位职能的角度对工作进行评价，不能总体统筹考虑绩效情况；二是部分项目支出具有专业性，绩效评价缺少专业知识的支撑；三是存在部分绩效评价难以量化，主观判断的自由裁量空间较大。产生的原因主要是绩效评价能力不足，影响预算执行效果。</w:t>
      </w:r>
    </w:p>
    <w:p>
      <w:pPr>
        <w:pStyle w:val="2"/>
        <w:keepNext/>
        <w:keepLines/>
        <w:pageBreakBefore w:val="0"/>
        <w:widowControl w:val="0"/>
        <w:kinsoku/>
        <w:wordWrap/>
        <w:overflowPunct/>
        <w:topLinePunct w:val="0"/>
        <w:autoSpaceDE/>
        <w:autoSpaceDN/>
        <w:bidi w:val="0"/>
        <w:adjustRightInd w:val="0"/>
        <w:snapToGrid w:val="0"/>
        <w:spacing w:after="0" w:afterLines="0" w:line="560" w:lineRule="exact"/>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五、有关建议</w:t>
      </w:r>
    </w:p>
    <w:p>
      <w:pPr>
        <w:wordWrap w:val="0"/>
        <w:spacing w:line="560" w:lineRule="exact"/>
        <w:ind w:firstLine="640" w:firstLineChars="200"/>
        <w:textAlignment w:val="baseline"/>
        <w:rPr>
          <w:rFonts w:hint="eastAsia" w:ascii="方正仿宋_GBK" w:hAnsi="方正仿宋_GBK" w:eastAsia="方正仿宋_GBK" w:cs="方正仿宋_GBK"/>
          <w:sz w:val="32"/>
          <w:szCs w:val="32"/>
          <w:highlight w:val="lightGray"/>
        </w:rPr>
      </w:pPr>
      <w:r>
        <w:rPr>
          <w:rFonts w:hint="eastAsia" w:ascii="方正仿宋_GBK" w:hAnsi="方正仿宋_GBK" w:eastAsia="方正仿宋_GBK" w:cs="方正仿宋_GBK"/>
          <w:color w:val="000000"/>
          <w:sz w:val="32"/>
          <w:szCs w:val="32"/>
        </w:rPr>
        <w:t>进一步健全内控制度体系，结合绩效评价结果，及时整改存在的问题，制定并完善相关制度，提高绩效管理的有效性。</w:t>
      </w:r>
    </w:p>
    <w:p>
      <w:pPr>
        <w:pStyle w:val="3"/>
        <w:keepNext/>
        <w:keepLines/>
        <w:pageBreakBefore w:val="0"/>
        <w:widowControl w:val="0"/>
        <w:kinsoku/>
        <w:wordWrap/>
        <w:overflowPunct/>
        <w:topLinePunct w:val="0"/>
        <w:autoSpaceDE/>
        <w:autoSpaceDN/>
        <w:bidi w:val="0"/>
        <w:adjustRightInd w:val="0"/>
        <w:snapToGrid w:val="0"/>
        <w:spacing w:line="560" w:lineRule="exact"/>
        <w:textAlignment w:val="auto"/>
        <w:rPr>
          <w:rFonts w:hint="eastAsia" w:ascii="方正黑体_GBK" w:hAnsi="方正黑体_GBK" w:eastAsia="方正黑体_GBK" w:cs="方正黑体_GBK"/>
        </w:rPr>
      </w:pPr>
      <w:r>
        <w:rPr>
          <w:rFonts w:hint="eastAsia" w:ascii="方正黑体_GBK" w:hAnsi="方正黑体_GBK" w:eastAsia="方正黑体_GBK" w:cs="方正黑体_GBK"/>
        </w:rPr>
        <w:t>六、评价工作开展情况及其他需说明的情况</w:t>
      </w:r>
    </w:p>
    <w:p>
      <w:pPr>
        <w:keepNext w:val="0"/>
        <w:keepLines w:val="0"/>
        <w:pageBreakBefore w:val="0"/>
        <w:widowControl w:val="0"/>
        <w:kinsoku/>
        <w:wordWrap w:val="0"/>
        <w:overflowPunct/>
        <w:topLinePunct w:val="0"/>
        <w:autoSpaceDE/>
        <w:autoSpaceDN/>
        <w:bidi w:val="0"/>
        <w:adjustRightInd w:val="0"/>
        <w:snapToGrid w:val="0"/>
        <w:spacing w:line="560" w:lineRule="exact"/>
        <w:ind w:firstLine="640" w:firstLineChars="200"/>
        <w:textAlignment w:val="baseline"/>
        <w:rPr>
          <w:rFonts w:hint="eastAsia" w:ascii="方正楷体_GBK" w:hAnsi="方正楷体_GBK" w:eastAsia="方正楷体_GBK" w:cs="方正楷体_GBK"/>
          <w:color w:val="000000"/>
          <w:sz w:val="32"/>
          <w:szCs w:val="32"/>
        </w:rPr>
      </w:pPr>
      <w:r>
        <w:rPr>
          <w:rFonts w:hint="eastAsia" w:ascii="方正楷体_GBK" w:hAnsi="方正楷体_GBK" w:eastAsia="方正楷体_GBK" w:cs="方正楷体_GBK"/>
          <w:color w:val="000000"/>
          <w:sz w:val="32"/>
          <w:szCs w:val="32"/>
        </w:rPr>
        <w:t>(一)评价工作开展情况</w:t>
      </w:r>
    </w:p>
    <w:p>
      <w:pPr>
        <w:pageBreakBefore w:val="0"/>
        <w:widowControl w:val="0"/>
        <w:kinsoku/>
        <w:wordWrap w:val="0"/>
        <w:overflowPunct/>
        <w:topLinePunct w:val="0"/>
        <w:autoSpaceDE/>
        <w:autoSpaceDN/>
        <w:bidi w:val="0"/>
        <w:adjustRightInd w:val="0"/>
        <w:snapToGrid w:val="0"/>
        <w:spacing w:after="20" w:afterLines="20" w:line="560" w:lineRule="exact"/>
        <w:ind w:firstLine="640" w:firstLineChars="200"/>
        <w:jc w:val="both"/>
        <w:textAlignment w:val="baseline"/>
        <w:rPr>
          <w:rFonts w:hint="eastAsia" w:ascii="方正仿宋_GBK" w:hAnsi="方正仿宋_GBK" w:eastAsia="方正仿宋_GBK" w:cs="方正仿宋_GBK"/>
          <w:kern w:val="2"/>
          <w:sz w:val="32"/>
          <w:szCs w:val="32"/>
          <w:lang w:val="en-US" w:eastAsia="zh-CN" w:bidi="ar-SA"/>
        </w:rPr>
      </w:pPr>
      <w:r>
        <w:rPr>
          <w:rFonts w:hint="eastAsia" w:ascii="方正仿宋_GBK" w:hAnsi="方正仿宋_GBK" w:eastAsia="方正仿宋_GBK" w:cs="方正仿宋_GBK"/>
          <w:color w:val="000000"/>
          <w:kern w:val="2"/>
          <w:sz w:val="32"/>
          <w:szCs w:val="32"/>
          <w:lang w:val="en-US" w:eastAsia="zh-CN" w:bidi="ar-SA"/>
        </w:rPr>
        <w:t>1.评价思路及方法</w:t>
      </w:r>
    </w:p>
    <w:p>
      <w:pPr>
        <w:widowControl w:val="0"/>
        <w:wordWrap w:val="0"/>
        <w:adjustRightInd w:val="0"/>
        <w:snapToGrid w:val="0"/>
        <w:spacing w:after="20" w:afterLines="20" w:line="560" w:lineRule="exact"/>
        <w:ind w:leftChars="0" w:firstLine="640" w:firstLineChars="200"/>
        <w:jc w:val="both"/>
        <w:textAlignment w:val="baseline"/>
        <w:rPr>
          <w:rFonts w:hint="eastAsia" w:ascii="方正仿宋_GBK" w:hAnsi="方正仿宋_GBK" w:eastAsia="方正仿宋_GBK" w:cs="方正仿宋_GBK"/>
          <w:color w:val="000000"/>
          <w:kern w:val="2"/>
          <w:sz w:val="32"/>
          <w:szCs w:val="32"/>
          <w:lang w:val="en-US" w:eastAsia="zh-CN" w:bidi="ar-SA"/>
        </w:rPr>
      </w:pPr>
      <w:r>
        <w:rPr>
          <w:rFonts w:hint="eastAsia" w:ascii="方正仿宋_GBK" w:hAnsi="方正仿宋_GBK" w:eastAsia="方正仿宋_GBK" w:cs="方正仿宋_GBK"/>
          <w:color w:val="000000"/>
          <w:kern w:val="2"/>
          <w:sz w:val="32"/>
          <w:szCs w:val="32"/>
          <w:lang w:val="en-US" w:eastAsia="zh-CN" w:bidi="ar-SA"/>
        </w:rPr>
        <w:t>本着客观公正、实事求是的原则，对照全年绩效目标，采用因素分析法、投入产出效益分析法、比较法等方法，围绕预算资金管理、职责履行、履职效益等内容进行全面、客观、公正的绩效考评。</w:t>
      </w:r>
    </w:p>
    <w:p>
      <w:pPr>
        <w:pageBreakBefore w:val="0"/>
        <w:widowControl w:val="0"/>
        <w:kinsoku/>
        <w:wordWrap w:val="0"/>
        <w:overflowPunct/>
        <w:topLinePunct w:val="0"/>
        <w:autoSpaceDE/>
        <w:autoSpaceDN/>
        <w:bidi w:val="0"/>
        <w:adjustRightInd w:val="0"/>
        <w:snapToGrid w:val="0"/>
        <w:spacing w:after="20" w:afterLines="20" w:line="560" w:lineRule="exact"/>
        <w:ind w:firstLine="640" w:firstLineChars="200"/>
        <w:jc w:val="both"/>
        <w:textAlignment w:val="baseline"/>
        <w:rPr>
          <w:rFonts w:hint="eastAsia" w:ascii="方正仿宋_GBK" w:hAnsi="方正仿宋_GBK" w:eastAsia="方正仿宋_GBK" w:cs="方正仿宋_GBK"/>
          <w:kern w:val="2"/>
          <w:sz w:val="32"/>
          <w:szCs w:val="32"/>
          <w:lang w:val="en-US" w:eastAsia="zh-CN" w:bidi="ar-SA"/>
        </w:rPr>
      </w:pPr>
      <w:r>
        <w:rPr>
          <w:rFonts w:hint="eastAsia" w:ascii="方正仿宋_GBK" w:hAnsi="方正仿宋_GBK" w:eastAsia="方正仿宋_GBK" w:cs="方正仿宋_GBK"/>
          <w:color w:val="000000"/>
          <w:kern w:val="2"/>
          <w:sz w:val="32"/>
          <w:szCs w:val="32"/>
          <w:lang w:val="en-US" w:eastAsia="zh-CN" w:bidi="ar-SA"/>
        </w:rPr>
        <w:t>2.评价过程</w:t>
      </w:r>
    </w:p>
    <w:p>
      <w:pPr>
        <w:widowControl w:val="0"/>
        <w:wordWrap w:val="0"/>
        <w:adjustRightInd w:val="0"/>
        <w:snapToGrid w:val="0"/>
        <w:spacing w:after="20" w:afterLines="20" w:line="560" w:lineRule="exact"/>
        <w:ind w:left="0" w:leftChars="0" w:firstLine="640" w:firstLineChars="200"/>
        <w:jc w:val="both"/>
        <w:textAlignment w:val="baseline"/>
        <w:rPr>
          <w:rFonts w:hint="eastAsia" w:ascii="方正仿宋_GBK" w:hAnsi="方正仿宋_GBK" w:eastAsia="方正仿宋_GBK" w:cs="方正仿宋_GBK"/>
          <w:color w:val="000000"/>
          <w:kern w:val="2"/>
          <w:sz w:val="32"/>
          <w:szCs w:val="32"/>
          <w:lang w:val="en-US" w:eastAsia="zh-CN" w:bidi="ar-SA"/>
        </w:rPr>
      </w:pPr>
      <w:r>
        <w:rPr>
          <w:rFonts w:hint="eastAsia" w:ascii="方正仿宋_GBK" w:hAnsi="方正仿宋_GBK" w:eastAsia="方正仿宋_GBK" w:cs="方正仿宋_GBK"/>
          <w:color w:val="000000"/>
          <w:kern w:val="2"/>
          <w:sz w:val="32"/>
          <w:szCs w:val="32"/>
          <w:lang w:val="en-US" w:eastAsia="zh-CN" w:bidi="ar-SA"/>
        </w:rPr>
        <w:t>绩效评价工作按照前期准备、资料核查、自评分析、报告编制四个步骤开展。</w:t>
      </w:r>
    </w:p>
    <w:p>
      <w:pPr>
        <w:pageBreakBefore w:val="0"/>
        <w:widowControl w:val="0"/>
        <w:kinsoku/>
        <w:wordWrap w:val="0"/>
        <w:overflowPunct/>
        <w:topLinePunct w:val="0"/>
        <w:autoSpaceDE/>
        <w:autoSpaceDN/>
        <w:bidi w:val="0"/>
        <w:adjustRightInd w:val="0"/>
        <w:snapToGrid w:val="0"/>
        <w:spacing w:after="20" w:afterLines="20" w:line="560" w:lineRule="exact"/>
        <w:ind w:firstLine="640" w:firstLineChars="200"/>
        <w:jc w:val="both"/>
        <w:textAlignment w:val="baseline"/>
        <w:rPr>
          <w:rFonts w:hint="eastAsia" w:ascii="方正仿宋_GBK" w:hAnsi="方正仿宋_GBK" w:eastAsia="方正仿宋_GBK" w:cs="方正仿宋_GBK"/>
          <w:color w:val="000000"/>
          <w:kern w:val="2"/>
          <w:sz w:val="32"/>
          <w:szCs w:val="32"/>
          <w:lang w:val="en-US" w:eastAsia="zh-CN" w:bidi="ar-SA"/>
        </w:rPr>
      </w:pPr>
      <w:r>
        <w:rPr>
          <w:rFonts w:hint="eastAsia" w:ascii="方正仿宋_GBK" w:hAnsi="方正仿宋_GBK" w:eastAsia="方正仿宋_GBK" w:cs="方正仿宋_GBK"/>
          <w:color w:val="000000"/>
          <w:kern w:val="2"/>
          <w:sz w:val="32"/>
          <w:szCs w:val="32"/>
          <w:lang w:val="en-US" w:eastAsia="zh-CN" w:bidi="ar-SA"/>
        </w:rPr>
        <w:t>3.评价指标体系</w:t>
      </w:r>
    </w:p>
    <w:p>
      <w:pPr>
        <w:widowControl w:val="0"/>
        <w:wordWrap w:val="0"/>
        <w:adjustRightInd w:val="0"/>
        <w:snapToGrid w:val="0"/>
        <w:spacing w:after="20" w:afterLines="20" w:line="560" w:lineRule="exact"/>
        <w:ind w:leftChars="0" w:firstLine="640" w:firstLineChars="200"/>
        <w:jc w:val="both"/>
        <w:textAlignment w:val="baseline"/>
        <w:rPr>
          <w:rFonts w:hint="eastAsia" w:ascii="方正仿宋_GBK" w:hAnsi="方正仿宋_GBK" w:eastAsia="方正仿宋_GBK" w:cs="方正仿宋_GBK"/>
          <w:color w:val="000000"/>
          <w:kern w:val="2"/>
          <w:sz w:val="32"/>
          <w:szCs w:val="32"/>
          <w:lang w:val="en-US" w:eastAsia="zh-CN" w:bidi="ar-SA"/>
        </w:rPr>
      </w:pPr>
      <w:r>
        <w:rPr>
          <w:rFonts w:hint="eastAsia" w:ascii="方正仿宋_GBK" w:hAnsi="方正仿宋_GBK" w:eastAsia="方正仿宋_GBK" w:cs="方正仿宋_GBK"/>
          <w:color w:val="000000"/>
          <w:kern w:val="2"/>
          <w:sz w:val="32"/>
          <w:szCs w:val="32"/>
          <w:lang w:val="en-US" w:eastAsia="zh-CN" w:bidi="ar-SA"/>
        </w:rPr>
        <w:t>2025年南京市公安局交通安全法制教育中心整体绩效评价指标体系共设计5个一级指标，12个二级指标，34个三级指标。详见附件1。</w:t>
      </w:r>
    </w:p>
    <w:p>
      <w:pPr>
        <w:keepNext w:val="0"/>
        <w:keepLines w:val="0"/>
        <w:pageBreakBefore w:val="0"/>
        <w:widowControl w:val="0"/>
        <w:numPr>
          <w:ilvl w:val="0"/>
          <w:numId w:val="0"/>
        </w:numPr>
        <w:kinsoku/>
        <w:wordWrap w:val="0"/>
        <w:overflowPunct/>
        <w:topLinePunct w:val="0"/>
        <w:autoSpaceDE/>
        <w:autoSpaceDN/>
        <w:bidi w:val="0"/>
        <w:adjustRightInd w:val="0"/>
        <w:snapToGrid w:val="0"/>
        <w:spacing w:line="560" w:lineRule="exact"/>
        <w:ind w:firstLine="640" w:firstLineChars="200"/>
        <w:textAlignment w:val="baseline"/>
        <w:rPr>
          <w:rFonts w:hint="eastAsia" w:ascii="方正楷体_GBK" w:hAnsi="方正楷体_GBK" w:eastAsia="方正楷体_GBK" w:cs="方正楷体_GBK"/>
          <w:color w:val="000000"/>
          <w:sz w:val="32"/>
          <w:szCs w:val="32"/>
        </w:rPr>
      </w:pPr>
      <w:r>
        <w:rPr>
          <w:rFonts w:hint="eastAsia" w:ascii="方正楷体_GBK" w:hAnsi="方正楷体_GBK" w:eastAsia="方正楷体_GBK" w:cs="方正楷体_GBK"/>
          <w:color w:val="000000"/>
          <w:sz w:val="32"/>
          <w:szCs w:val="32"/>
        </w:rPr>
        <w:t>(</w:t>
      </w:r>
      <w:r>
        <w:rPr>
          <w:rFonts w:hint="eastAsia" w:ascii="方正楷体_GBK" w:hAnsi="方正楷体_GBK" w:eastAsia="方正楷体_GBK" w:cs="方正楷体_GBK"/>
          <w:color w:val="000000"/>
          <w:sz w:val="32"/>
          <w:szCs w:val="32"/>
          <w:lang w:eastAsia="zh-CN"/>
        </w:rPr>
        <w:t>二</w:t>
      </w:r>
      <w:r>
        <w:rPr>
          <w:rFonts w:hint="eastAsia" w:ascii="方正楷体_GBK" w:hAnsi="方正楷体_GBK" w:eastAsia="方正楷体_GBK" w:cs="方正楷体_GBK"/>
          <w:color w:val="000000"/>
          <w:sz w:val="32"/>
          <w:szCs w:val="32"/>
        </w:rPr>
        <w:t>)其他需要说明的情况</w:t>
      </w:r>
    </w:p>
    <w:p>
      <w:pPr>
        <w:keepNext w:val="0"/>
        <w:keepLines w:val="0"/>
        <w:pageBreakBefore w:val="0"/>
        <w:widowControl w:val="0"/>
        <w:kinsoku/>
        <w:wordWrap w:val="0"/>
        <w:overflowPunct/>
        <w:topLinePunct w:val="0"/>
        <w:autoSpaceDE/>
        <w:autoSpaceDN/>
        <w:bidi w:val="0"/>
        <w:adjustRightInd w:val="0"/>
        <w:snapToGrid w:val="0"/>
        <w:spacing w:line="560" w:lineRule="exact"/>
        <w:ind w:firstLine="640" w:firstLineChars="200"/>
        <w:textAlignment w:val="baseline"/>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无。</w:t>
      </w:r>
    </w:p>
    <w:p>
      <w:pPr>
        <w:wordWrap w:val="0"/>
        <w:spacing w:line="560" w:lineRule="exact"/>
        <w:ind w:firstLine="640" w:firstLineChars="200"/>
        <w:textAlignment w:val="baseline"/>
        <w:rPr>
          <w:rFonts w:hint="eastAsia" w:ascii="方正仿宋_GBK" w:hAnsi="方正仿宋_GBK" w:eastAsia="方正仿宋_GBK" w:cs="方正仿宋_GBK"/>
          <w:sz w:val="32"/>
          <w:szCs w:val="32"/>
        </w:rPr>
      </w:pPr>
    </w:p>
    <w:p>
      <w:pPr>
        <w:wordWrap w:val="0"/>
        <w:spacing w:line="560" w:lineRule="exact"/>
        <w:ind w:firstLine="640" w:firstLineChars="200"/>
        <w:textAlignment w:val="baseline"/>
        <w:rPr>
          <w:rFonts w:hint="eastAsia" w:ascii="方正仿宋_GBK" w:hAnsi="方正仿宋_GBK" w:eastAsia="方正仿宋_GBK" w:cs="方正仿宋_GBK"/>
          <w:color w:val="auto"/>
          <w:sz w:val="32"/>
          <w:szCs w:val="32"/>
        </w:rPr>
      </w:pPr>
    </w:p>
    <w:p>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方正仿宋_GBK" w:hAnsi="宋体" w:eastAsia="方正仿宋_GBK"/>
          <w:color w:val="auto"/>
          <w:sz w:val="32"/>
          <w:szCs w:val="32"/>
        </w:rPr>
      </w:pPr>
      <w:r>
        <w:rPr>
          <w:rFonts w:hint="eastAsia" w:ascii="方正仿宋_GBK" w:hAnsi="宋体" w:eastAsia="方正仿宋_GBK"/>
          <w:color w:val="auto"/>
          <w:sz w:val="32"/>
          <w:szCs w:val="32"/>
        </w:rPr>
        <w:t>附件：</w:t>
      </w:r>
      <w:r>
        <w:rPr>
          <w:rFonts w:hint="eastAsia" w:ascii="方正仿宋_GBK" w:hAnsi="宋体" w:eastAsia="方正仿宋_GBK" w:cstheme="minorBidi"/>
          <w:color w:val="auto"/>
          <w:kern w:val="2"/>
          <w:sz w:val="32"/>
          <w:szCs w:val="32"/>
          <w:lang w:val="en-US" w:eastAsia="zh-CN" w:bidi="ar-SA"/>
        </w:rPr>
        <w:t>南京市公安局交通安全法制教育中心</w:t>
      </w:r>
      <w:r>
        <w:rPr>
          <w:rFonts w:hint="eastAsia" w:ascii="方正仿宋_GBK" w:hAnsi="宋体" w:eastAsia="方正仿宋_GBK"/>
          <w:color w:val="auto"/>
          <w:sz w:val="32"/>
          <w:szCs w:val="32"/>
        </w:rPr>
        <w:t>整体绩效评价指标体系</w:t>
      </w:r>
    </w:p>
    <w:p>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方正仿宋_GBK" w:hAnsi="宋体" w:eastAsia="方正仿宋_GBK"/>
          <w:color w:val="auto"/>
          <w:sz w:val="32"/>
          <w:szCs w:val="32"/>
        </w:rPr>
      </w:pPr>
    </w:p>
    <w:p>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方正仿宋_GBK" w:hAnsi="宋体" w:eastAsia="方正仿宋_GBK"/>
          <w:color w:val="auto"/>
          <w:sz w:val="32"/>
          <w:szCs w:val="32"/>
        </w:rPr>
      </w:pPr>
    </w:p>
    <w:p>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方正仿宋_GBK" w:hAnsi="宋体" w:eastAsia="方正仿宋_GBK"/>
          <w:color w:val="auto"/>
          <w:sz w:val="32"/>
          <w:szCs w:val="32"/>
        </w:rPr>
      </w:pPr>
    </w:p>
    <w:p>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方正仿宋_GBK" w:hAnsi="宋体" w:eastAsia="方正仿宋_GBK"/>
          <w:color w:val="auto"/>
          <w:sz w:val="32"/>
          <w:szCs w:val="32"/>
        </w:rPr>
      </w:pPr>
    </w:p>
    <w:p>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方正仿宋_GBK" w:hAnsi="宋体" w:eastAsia="方正仿宋_GBK"/>
          <w:color w:val="auto"/>
          <w:sz w:val="32"/>
          <w:szCs w:val="32"/>
        </w:rPr>
      </w:pPr>
    </w:p>
    <w:p>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方正仿宋_GBK" w:hAnsi="宋体" w:eastAsia="方正仿宋_GBK"/>
          <w:color w:val="auto"/>
          <w:sz w:val="32"/>
          <w:szCs w:val="32"/>
        </w:rPr>
      </w:pPr>
    </w:p>
    <w:p>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方正仿宋_GBK" w:hAnsi="宋体" w:eastAsia="方正仿宋_GBK"/>
          <w:color w:val="auto"/>
          <w:sz w:val="32"/>
          <w:szCs w:val="32"/>
        </w:rPr>
      </w:pPr>
    </w:p>
    <w:p>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方正仿宋_GBK" w:hAnsi="宋体" w:eastAsia="方正仿宋_GBK"/>
          <w:color w:val="auto"/>
          <w:sz w:val="32"/>
          <w:szCs w:val="32"/>
        </w:rPr>
      </w:pPr>
    </w:p>
    <w:p>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方正仿宋_GBK" w:hAnsi="宋体" w:eastAsia="方正仿宋_GBK"/>
          <w:color w:val="auto"/>
          <w:sz w:val="32"/>
          <w:szCs w:val="32"/>
        </w:rPr>
      </w:pPr>
    </w:p>
    <w:p>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方正仿宋_GBK" w:hAnsi="宋体" w:eastAsia="方正仿宋_GBK"/>
          <w:color w:val="auto"/>
          <w:sz w:val="32"/>
          <w:szCs w:val="32"/>
        </w:rPr>
      </w:pPr>
    </w:p>
    <w:p>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方正仿宋_GBK" w:hAnsi="宋体" w:eastAsia="方正仿宋_GBK"/>
          <w:color w:val="auto"/>
          <w:sz w:val="32"/>
          <w:szCs w:val="32"/>
        </w:rPr>
      </w:pPr>
    </w:p>
    <w:p>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方正仿宋_GBK" w:hAnsi="宋体" w:eastAsia="方正仿宋_GBK"/>
          <w:color w:val="auto"/>
          <w:sz w:val="32"/>
          <w:szCs w:val="32"/>
        </w:rPr>
      </w:pPr>
    </w:p>
    <w:p>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方正仿宋_GBK" w:hAnsi="宋体" w:eastAsia="方正仿宋_GBK"/>
          <w:color w:val="auto"/>
          <w:sz w:val="32"/>
          <w:szCs w:val="32"/>
        </w:rPr>
      </w:pPr>
    </w:p>
    <w:p>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方正仿宋_GBK" w:hAnsi="宋体" w:eastAsia="方正仿宋_GBK"/>
          <w:color w:val="auto"/>
          <w:sz w:val="32"/>
          <w:szCs w:val="32"/>
        </w:rPr>
      </w:pPr>
    </w:p>
    <w:p>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方正仿宋_GBK" w:hAnsi="宋体" w:eastAsia="方正仿宋_GBK"/>
          <w:color w:val="auto"/>
          <w:sz w:val="32"/>
          <w:szCs w:val="32"/>
        </w:rPr>
      </w:pPr>
    </w:p>
    <w:p>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方正仿宋_GBK" w:hAnsi="宋体" w:eastAsia="方正仿宋_GBK"/>
          <w:color w:val="auto"/>
          <w:sz w:val="32"/>
          <w:szCs w:val="32"/>
        </w:rPr>
      </w:pPr>
    </w:p>
    <w:p>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方正仿宋_GBK" w:hAnsi="宋体" w:eastAsia="方正仿宋_GBK"/>
          <w:color w:val="auto"/>
          <w:sz w:val="32"/>
          <w:szCs w:val="32"/>
        </w:rPr>
      </w:pPr>
    </w:p>
    <w:p>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方正仿宋_GBK" w:hAnsi="宋体" w:eastAsia="方正仿宋_GBK"/>
          <w:color w:val="auto"/>
          <w:sz w:val="32"/>
          <w:szCs w:val="32"/>
        </w:rPr>
      </w:pPr>
    </w:p>
    <w:p>
      <w:pPr>
        <w:spacing w:line="660" w:lineRule="exact"/>
        <w:jc w:val="center"/>
        <w:rPr>
          <w:rFonts w:hint="eastAsia" w:ascii="方正小标宋_GBK" w:hAnsi="方正小标宋_GBK" w:eastAsia="方正小标宋_GBK" w:cs="方正小标宋_GBK"/>
          <w:color w:val="auto"/>
          <w:sz w:val="36"/>
          <w:szCs w:val="36"/>
        </w:rPr>
      </w:pPr>
    </w:p>
    <w:p>
      <w:pPr>
        <w:spacing w:line="660" w:lineRule="exact"/>
        <w:jc w:val="center"/>
        <w:rPr>
          <w:rFonts w:hint="eastAsia" w:ascii="方正小标宋_GBK" w:hAnsi="方正小标宋_GBK" w:eastAsia="方正小标宋_GBK" w:cs="方正小标宋_GBK"/>
          <w:color w:val="auto"/>
          <w:sz w:val="36"/>
          <w:szCs w:val="36"/>
        </w:rPr>
      </w:pPr>
    </w:p>
    <w:p>
      <w:pPr>
        <w:spacing w:line="660" w:lineRule="exact"/>
        <w:jc w:val="center"/>
        <w:rPr>
          <w:rFonts w:hint="eastAsia" w:ascii="方正小标宋_GBK" w:hAnsi="方正小标宋_GBK" w:eastAsia="方正小标宋_GBK" w:cs="方正小标宋_GBK"/>
          <w:color w:val="auto"/>
          <w:sz w:val="36"/>
          <w:szCs w:val="36"/>
        </w:rPr>
      </w:pPr>
      <w:bookmarkStart w:id="0" w:name="_GoBack"/>
      <w:bookmarkEnd w:id="0"/>
      <w:r>
        <w:rPr>
          <w:rFonts w:hint="eastAsia" w:ascii="方正小标宋_GBK" w:hAnsi="方正小标宋_GBK" w:eastAsia="方正小标宋_GBK" w:cs="方正小标宋_GBK"/>
          <w:color w:val="auto"/>
          <w:sz w:val="36"/>
          <w:szCs w:val="36"/>
        </w:rPr>
        <w:t>南京市公安局交通安全法制教育中心整体绩效评价指标体系</w:t>
      </w:r>
    </w:p>
    <w:tbl>
      <w:tblPr>
        <w:tblStyle w:val="39"/>
        <w:tblW w:w="1081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1"/>
        <w:gridCol w:w="919"/>
        <w:gridCol w:w="1711"/>
        <w:gridCol w:w="976"/>
        <w:gridCol w:w="2340"/>
        <w:gridCol w:w="2910"/>
        <w:gridCol w:w="617"/>
        <w:gridCol w:w="441"/>
        <w:gridCol w:w="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atLeast"/>
          <w:jc w:val="center"/>
        </w:trPr>
        <w:tc>
          <w:tcPr>
            <w:tcW w:w="861" w:type="dxa"/>
            <w:shd w:val="clear" w:color="000000" w:fill="D9D9D9"/>
            <w:vAlign w:val="center"/>
          </w:tcPr>
          <w:p>
            <w:pPr>
              <w:jc w:val="center"/>
              <w:rPr>
                <w:rFonts w:hint="eastAsia" w:ascii="方正仿宋_GBK" w:hAnsi="方正仿宋_GBK" w:eastAsia="方正仿宋_GBK" w:cs="方正仿宋_GBK"/>
                <w:b/>
                <w:bCs/>
                <w:sz w:val="20"/>
                <w:szCs w:val="20"/>
              </w:rPr>
            </w:pPr>
            <w:r>
              <w:rPr>
                <w:rFonts w:hint="eastAsia" w:ascii="方正仿宋_GBK" w:hAnsi="方正仿宋_GBK" w:eastAsia="方正仿宋_GBK" w:cs="方正仿宋_GBK"/>
                <w:b/>
                <w:bCs/>
                <w:sz w:val="20"/>
                <w:szCs w:val="20"/>
              </w:rPr>
              <w:t>一级</w:t>
            </w:r>
          </w:p>
          <w:p>
            <w:pPr>
              <w:jc w:val="center"/>
              <w:rPr>
                <w:rFonts w:hint="eastAsia" w:ascii="方正仿宋_GBK" w:hAnsi="方正仿宋_GBK" w:eastAsia="方正仿宋_GBK" w:cs="方正仿宋_GBK"/>
                <w:b/>
                <w:bCs/>
                <w:sz w:val="20"/>
                <w:szCs w:val="20"/>
              </w:rPr>
            </w:pPr>
            <w:r>
              <w:rPr>
                <w:rFonts w:hint="eastAsia" w:ascii="方正仿宋_GBK" w:hAnsi="方正仿宋_GBK" w:eastAsia="方正仿宋_GBK" w:cs="方正仿宋_GBK"/>
                <w:b/>
                <w:bCs/>
                <w:sz w:val="20"/>
                <w:szCs w:val="20"/>
              </w:rPr>
              <w:t>指标</w:t>
            </w:r>
          </w:p>
        </w:tc>
        <w:tc>
          <w:tcPr>
            <w:tcW w:w="919" w:type="dxa"/>
            <w:shd w:val="clear" w:color="000000" w:fill="D9D9D9"/>
            <w:vAlign w:val="center"/>
          </w:tcPr>
          <w:p>
            <w:pPr>
              <w:jc w:val="center"/>
              <w:rPr>
                <w:rFonts w:hint="eastAsia" w:ascii="方正仿宋_GBK" w:hAnsi="方正仿宋_GBK" w:eastAsia="方正仿宋_GBK" w:cs="方正仿宋_GBK"/>
                <w:b/>
                <w:bCs/>
                <w:sz w:val="20"/>
                <w:szCs w:val="20"/>
              </w:rPr>
            </w:pPr>
            <w:r>
              <w:rPr>
                <w:rFonts w:hint="eastAsia" w:ascii="方正仿宋_GBK" w:hAnsi="方正仿宋_GBK" w:eastAsia="方正仿宋_GBK" w:cs="方正仿宋_GBK"/>
                <w:b/>
                <w:bCs/>
                <w:sz w:val="20"/>
                <w:szCs w:val="20"/>
              </w:rPr>
              <w:t>二级</w:t>
            </w:r>
          </w:p>
          <w:p>
            <w:pPr>
              <w:jc w:val="center"/>
              <w:rPr>
                <w:rFonts w:hint="eastAsia" w:ascii="方正仿宋_GBK" w:hAnsi="方正仿宋_GBK" w:eastAsia="方正仿宋_GBK" w:cs="方正仿宋_GBK"/>
                <w:b/>
                <w:bCs/>
                <w:sz w:val="20"/>
                <w:szCs w:val="20"/>
              </w:rPr>
            </w:pPr>
            <w:r>
              <w:rPr>
                <w:rFonts w:hint="eastAsia" w:ascii="方正仿宋_GBK" w:hAnsi="方正仿宋_GBK" w:eastAsia="方正仿宋_GBK" w:cs="方正仿宋_GBK"/>
                <w:b/>
                <w:bCs/>
                <w:sz w:val="20"/>
                <w:szCs w:val="20"/>
              </w:rPr>
              <w:t>指标</w:t>
            </w:r>
          </w:p>
        </w:tc>
        <w:tc>
          <w:tcPr>
            <w:tcW w:w="1711" w:type="dxa"/>
            <w:shd w:val="clear" w:color="000000" w:fill="D9D9D9"/>
            <w:vAlign w:val="center"/>
          </w:tcPr>
          <w:p>
            <w:pPr>
              <w:jc w:val="center"/>
              <w:rPr>
                <w:rFonts w:hint="eastAsia" w:ascii="方正仿宋_GBK" w:hAnsi="方正仿宋_GBK" w:eastAsia="方正仿宋_GBK" w:cs="方正仿宋_GBK"/>
                <w:b/>
                <w:bCs/>
                <w:sz w:val="20"/>
                <w:szCs w:val="20"/>
              </w:rPr>
            </w:pPr>
            <w:r>
              <w:rPr>
                <w:rFonts w:hint="eastAsia" w:ascii="方正仿宋_GBK" w:hAnsi="方正仿宋_GBK" w:eastAsia="方正仿宋_GBK" w:cs="方正仿宋_GBK"/>
                <w:b/>
                <w:bCs/>
                <w:sz w:val="20"/>
                <w:szCs w:val="20"/>
              </w:rPr>
              <w:t>三级</w:t>
            </w:r>
          </w:p>
          <w:p>
            <w:pPr>
              <w:jc w:val="center"/>
              <w:rPr>
                <w:rFonts w:hint="eastAsia" w:ascii="方正仿宋_GBK" w:hAnsi="方正仿宋_GBK" w:eastAsia="方正仿宋_GBK" w:cs="方正仿宋_GBK"/>
                <w:b/>
                <w:bCs/>
                <w:sz w:val="20"/>
                <w:szCs w:val="20"/>
              </w:rPr>
            </w:pPr>
            <w:r>
              <w:rPr>
                <w:rFonts w:hint="eastAsia" w:ascii="方正仿宋_GBK" w:hAnsi="方正仿宋_GBK" w:eastAsia="方正仿宋_GBK" w:cs="方正仿宋_GBK"/>
                <w:b/>
                <w:bCs/>
                <w:sz w:val="20"/>
                <w:szCs w:val="20"/>
              </w:rPr>
              <w:t>指标</w:t>
            </w:r>
          </w:p>
        </w:tc>
        <w:tc>
          <w:tcPr>
            <w:tcW w:w="976" w:type="dxa"/>
            <w:shd w:val="clear" w:color="000000" w:fill="D9D9D9"/>
            <w:vAlign w:val="center"/>
          </w:tcPr>
          <w:p>
            <w:pPr>
              <w:jc w:val="center"/>
              <w:rPr>
                <w:rFonts w:hint="eastAsia" w:ascii="方正仿宋_GBK" w:hAnsi="方正仿宋_GBK" w:eastAsia="方正仿宋_GBK" w:cs="方正仿宋_GBK"/>
                <w:b/>
                <w:bCs/>
                <w:sz w:val="20"/>
                <w:szCs w:val="20"/>
              </w:rPr>
            </w:pPr>
            <w:r>
              <w:rPr>
                <w:rFonts w:hint="eastAsia" w:ascii="方正仿宋_GBK" w:hAnsi="方正仿宋_GBK" w:eastAsia="方正仿宋_GBK" w:cs="方正仿宋_GBK"/>
                <w:b/>
                <w:bCs/>
                <w:sz w:val="20"/>
                <w:szCs w:val="20"/>
              </w:rPr>
              <w:t>标准值</w:t>
            </w:r>
          </w:p>
        </w:tc>
        <w:tc>
          <w:tcPr>
            <w:tcW w:w="2340" w:type="dxa"/>
            <w:shd w:val="clear" w:color="000000" w:fill="D9D9D9"/>
            <w:vAlign w:val="center"/>
          </w:tcPr>
          <w:p>
            <w:pPr>
              <w:jc w:val="center"/>
              <w:rPr>
                <w:rFonts w:hint="eastAsia" w:ascii="方正仿宋_GBK" w:hAnsi="方正仿宋_GBK" w:eastAsia="方正仿宋_GBK" w:cs="方正仿宋_GBK"/>
                <w:b/>
                <w:bCs/>
                <w:sz w:val="20"/>
                <w:szCs w:val="20"/>
              </w:rPr>
            </w:pPr>
            <w:r>
              <w:rPr>
                <w:rFonts w:hint="eastAsia" w:ascii="方正仿宋_GBK" w:hAnsi="方正仿宋_GBK" w:eastAsia="方正仿宋_GBK" w:cs="方正仿宋_GBK"/>
                <w:b/>
                <w:bCs/>
                <w:sz w:val="20"/>
                <w:szCs w:val="20"/>
              </w:rPr>
              <w:t>评分标准</w:t>
            </w:r>
          </w:p>
        </w:tc>
        <w:tc>
          <w:tcPr>
            <w:tcW w:w="2910" w:type="dxa"/>
            <w:shd w:val="clear" w:color="000000" w:fill="D9D9D9"/>
            <w:vAlign w:val="center"/>
          </w:tcPr>
          <w:p>
            <w:pPr>
              <w:jc w:val="center"/>
              <w:rPr>
                <w:rFonts w:hint="eastAsia" w:ascii="方正仿宋_GBK" w:hAnsi="方正仿宋_GBK" w:eastAsia="方正仿宋_GBK" w:cs="方正仿宋_GBK"/>
                <w:b/>
                <w:bCs/>
                <w:sz w:val="20"/>
                <w:szCs w:val="20"/>
              </w:rPr>
            </w:pPr>
            <w:r>
              <w:rPr>
                <w:rFonts w:hint="eastAsia" w:ascii="方正仿宋_GBK" w:hAnsi="方正仿宋_GBK" w:eastAsia="方正仿宋_GBK" w:cs="方正仿宋_GBK"/>
                <w:b/>
                <w:bCs/>
                <w:sz w:val="20"/>
                <w:szCs w:val="20"/>
              </w:rPr>
              <w:t>评分过程</w:t>
            </w:r>
          </w:p>
        </w:tc>
        <w:tc>
          <w:tcPr>
            <w:tcW w:w="617" w:type="dxa"/>
            <w:shd w:val="clear" w:color="000000" w:fill="D9D9D9"/>
            <w:vAlign w:val="center"/>
          </w:tcPr>
          <w:p>
            <w:pPr>
              <w:jc w:val="center"/>
              <w:rPr>
                <w:rFonts w:hint="eastAsia" w:ascii="方正仿宋_GBK" w:hAnsi="方正仿宋_GBK" w:eastAsia="方正仿宋_GBK" w:cs="方正仿宋_GBK"/>
                <w:b/>
                <w:bCs/>
                <w:sz w:val="20"/>
                <w:szCs w:val="20"/>
              </w:rPr>
            </w:pPr>
            <w:r>
              <w:rPr>
                <w:rFonts w:hint="eastAsia" w:ascii="方正仿宋_GBK" w:hAnsi="方正仿宋_GBK" w:eastAsia="方正仿宋_GBK" w:cs="方正仿宋_GBK"/>
                <w:b/>
                <w:bCs/>
                <w:sz w:val="20"/>
                <w:szCs w:val="20"/>
              </w:rPr>
              <w:t>分值</w:t>
            </w:r>
          </w:p>
        </w:tc>
        <w:tc>
          <w:tcPr>
            <w:tcW w:w="483" w:type="dxa"/>
            <w:gridSpan w:val="2"/>
            <w:shd w:val="clear" w:color="000000" w:fill="D9D9D9"/>
            <w:vAlign w:val="center"/>
          </w:tcPr>
          <w:p>
            <w:pPr>
              <w:jc w:val="center"/>
              <w:rPr>
                <w:rFonts w:hint="eastAsia" w:ascii="方正仿宋_GBK" w:hAnsi="方正仿宋_GBK" w:eastAsia="方正仿宋_GBK" w:cs="方正仿宋_GBK"/>
                <w:b/>
                <w:bCs/>
                <w:sz w:val="20"/>
                <w:szCs w:val="20"/>
              </w:rPr>
            </w:pPr>
            <w:r>
              <w:rPr>
                <w:rFonts w:hint="eastAsia" w:ascii="方正仿宋_GBK" w:hAnsi="方正仿宋_GBK" w:eastAsia="方正仿宋_GBK" w:cs="方正仿宋_GBK"/>
                <w:b/>
                <w:bCs/>
                <w:sz w:val="20"/>
                <w:szCs w:val="20"/>
              </w:rPr>
              <w:t>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42" w:type="dxa"/>
          <w:trHeight w:val="640" w:hRule="atLeast"/>
          <w:jc w:val="center"/>
        </w:trPr>
        <w:tc>
          <w:tcPr>
            <w:tcW w:w="861" w:type="dxa"/>
            <w:vMerge w:val="restart"/>
            <w:vAlign w:val="center"/>
          </w:tcPr>
          <w:p>
            <w:pPr>
              <w:spacing w:line="226" w:lineRule="exact"/>
              <w:jc w:val="center"/>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部门决策（12）</w:t>
            </w:r>
          </w:p>
        </w:tc>
        <w:tc>
          <w:tcPr>
            <w:tcW w:w="919" w:type="dxa"/>
            <w:vMerge w:val="restart"/>
            <w:vAlign w:val="center"/>
          </w:tcPr>
          <w:p>
            <w:pPr>
              <w:spacing w:line="226" w:lineRule="exact"/>
              <w:jc w:val="center"/>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计划制定</w:t>
            </w:r>
          </w:p>
        </w:tc>
        <w:tc>
          <w:tcPr>
            <w:tcW w:w="1711" w:type="dxa"/>
            <w:vAlign w:val="center"/>
          </w:tcPr>
          <w:p>
            <w:pPr>
              <w:spacing w:line="226" w:lineRule="exact"/>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中长期规划制定健全性</w:t>
            </w:r>
          </w:p>
        </w:tc>
        <w:tc>
          <w:tcPr>
            <w:tcW w:w="976" w:type="dxa"/>
            <w:vAlign w:val="center"/>
          </w:tcPr>
          <w:p>
            <w:pPr>
              <w:spacing w:line="226" w:lineRule="exact"/>
              <w:jc w:val="center"/>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健全</w:t>
            </w:r>
          </w:p>
        </w:tc>
        <w:tc>
          <w:tcPr>
            <w:tcW w:w="2340" w:type="dxa"/>
            <w:vAlign w:val="center"/>
          </w:tcPr>
          <w:p>
            <w:pPr>
              <w:spacing w:line="226" w:lineRule="exact"/>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单位中长期规划是否明确（1分），科学（1分）</w:t>
            </w:r>
          </w:p>
        </w:tc>
        <w:tc>
          <w:tcPr>
            <w:tcW w:w="2910" w:type="dxa"/>
            <w:vAlign w:val="center"/>
          </w:tcPr>
          <w:p>
            <w:pPr>
              <w:spacing w:line="226" w:lineRule="exact"/>
              <w:jc w:val="left"/>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单位中长期规划明确、科学，得2分</w:t>
            </w:r>
          </w:p>
        </w:tc>
        <w:tc>
          <w:tcPr>
            <w:tcW w:w="617" w:type="dxa"/>
            <w:vAlign w:val="center"/>
          </w:tcPr>
          <w:p>
            <w:pPr>
              <w:spacing w:line="226" w:lineRule="exact"/>
              <w:jc w:val="center"/>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2</w:t>
            </w:r>
          </w:p>
        </w:tc>
        <w:tc>
          <w:tcPr>
            <w:tcW w:w="441" w:type="dxa"/>
            <w:vAlign w:val="center"/>
          </w:tcPr>
          <w:p>
            <w:pPr>
              <w:spacing w:line="226" w:lineRule="exact"/>
              <w:jc w:val="center"/>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42" w:type="dxa"/>
          <w:trHeight w:val="424" w:hRule="atLeast"/>
          <w:jc w:val="center"/>
        </w:trPr>
        <w:tc>
          <w:tcPr>
            <w:tcW w:w="861" w:type="dxa"/>
            <w:vMerge w:val="continue"/>
            <w:vAlign w:val="center"/>
          </w:tcPr>
          <w:p>
            <w:pPr>
              <w:spacing w:line="226" w:lineRule="exact"/>
              <w:rPr>
                <w:rFonts w:hint="eastAsia" w:ascii="方正仿宋_GBK" w:hAnsi="方正仿宋_GBK" w:eastAsia="方正仿宋_GBK" w:cs="方正仿宋_GBK"/>
                <w:bCs/>
                <w:sz w:val="20"/>
                <w:szCs w:val="20"/>
              </w:rPr>
            </w:pPr>
          </w:p>
        </w:tc>
        <w:tc>
          <w:tcPr>
            <w:tcW w:w="919" w:type="dxa"/>
            <w:vMerge w:val="continue"/>
            <w:vAlign w:val="center"/>
          </w:tcPr>
          <w:p>
            <w:pPr>
              <w:spacing w:line="226" w:lineRule="exact"/>
              <w:rPr>
                <w:rFonts w:hint="eastAsia" w:ascii="方正仿宋_GBK" w:hAnsi="方正仿宋_GBK" w:eastAsia="方正仿宋_GBK" w:cs="方正仿宋_GBK"/>
                <w:bCs/>
                <w:sz w:val="20"/>
                <w:szCs w:val="20"/>
              </w:rPr>
            </w:pPr>
          </w:p>
        </w:tc>
        <w:tc>
          <w:tcPr>
            <w:tcW w:w="1711" w:type="dxa"/>
            <w:vAlign w:val="center"/>
          </w:tcPr>
          <w:p>
            <w:pPr>
              <w:spacing w:line="226" w:lineRule="exact"/>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工作计划制定健全性</w:t>
            </w:r>
          </w:p>
        </w:tc>
        <w:tc>
          <w:tcPr>
            <w:tcW w:w="976" w:type="dxa"/>
            <w:vAlign w:val="center"/>
          </w:tcPr>
          <w:p>
            <w:pPr>
              <w:spacing w:line="226" w:lineRule="exact"/>
              <w:jc w:val="center"/>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健全</w:t>
            </w:r>
          </w:p>
        </w:tc>
        <w:tc>
          <w:tcPr>
            <w:tcW w:w="2340" w:type="dxa"/>
            <w:vAlign w:val="center"/>
          </w:tcPr>
          <w:p>
            <w:pPr>
              <w:spacing w:line="226" w:lineRule="exact"/>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单位年度工作计划的制定是否明确（1分），科学（1分）</w:t>
            </w:r>
          </w:p>
        </w:tc>
        <w:tc>
          <w:tcPr>
            <w:tcW w:w="2910" w:type="dxa"/>
            <w:vAlign w:val="center"/>
          </w:tcPr>
          <w:p>
            <w:pPr>
              <w:spacing w:line="226" w:lineRule="exact"/>
              <w:jc w:val="left"/>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已制定科学明确的年度工作计划，有年度工作要点，得2分</w:t>
            </w:r>
          </w:p>
        </w:tc>
        <w:tc>
          <w:tcPr>
            <w:tcW w:w="617" w:type="dxa"/>
            <w:vAlign w:val="center"/>
          </w:tcPr>
          <w:p>
            <w:pPr>
              <w:spacing w:line="226" w:lineRule="exact"/>
              <w:jc w:val="center"/>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2</w:t>
            </w:r>
          </w:p>
        </w:tc>
        <w:tc>
          <w:tcPr>
            <w:tcW w:w="441" w:type="dxa"/>
            <w:vAlign w:val="center"/>
          </w:tcPr>
          <w:p>
            <w:pPr>
              <w:spacing w:line="226" w:lineRule="exact"/>
              <w:jc w:val="center"/>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42" w:type="dxa"/>
          <w:trHeight w:val="754" w:hRule="atLeast"/>
          <w:jc w:val="center"/>
        </w:trPr>
        <w:tc>
          <w:tcPr>
            <w:tcW w:w="861" w:type="dxa"/>
            <w:vMerge w:val="continue"/>
            <w:vAlign w:val="center"/>
          </w:tcPr>
          <w:p>
            <w:pPr>
              <w:spacing w:line="226" w:lineRule="exact"/>
              <w:rPr>
                <w:rFonts w:hint="eastAsia" w:ascii="方正仿宋_GBK" w:hAnsi="方正仿宋_GBK" w:eastAsia="方正仿宋_GBK" w:cs="方正仿宋_GBK"/>
                <w:bCs/>
                <w:sz w:val="20"/>
                <w:szCs w:val="20"/>
              </w:rPr>
            </w:pPr>
          </w:p>
        </w:tc>
        <w:tc>
          <w:tcPr>
            <w:tcW w:w="919" w:type="dxa"/>
            <w:vMerge w:val="restart"/>
            <w:vAlign w:val="center"/>
          </w:tcPr>
          <w:p>
            <w:pPr>
              <w:spacing w:line="226" w:lineRule="exact"/>
              <w:jc w:val="center"/>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目标设定</w:t>
            </w:r>
          </w:p>
        </w:tc>
        <w:tc>
          <w:tcPr>
            <w:tcW w:w="1711" w:type="dxa"/>
            <w:vAlign w:val="center"/>
          </w:tcPr>
          <w:p>
            <w:pPr>
              <w:spacing w:line="226" w:lineRule="exact"/>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绩效目标合理性</w:t>
            </w:r>
          </w:p>
        </w:tc>
        <w:tc>
          <w:tcPr>
            <w:tcW w:w="976" w:type="dxa"/>
            <w:vAlign w:val="center"/>
          </w:tcPr>
          <w:p>
            <w:pPr>
              <w:spacing w:line="226" w:lineRule="exact"/>
              <w:jc w:val="center"/>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合理</w:t>
            </w:r>
          </w:p>
        </w:tc>
        <w:tc>
          <w:tcPr>
            <w:tcW w:w="2340" w:type="dxa"/>
            <w:vAlign w:val="center"/>
          </w:tcPr>
          <w:p>
            <w:pPr>
              <w:spacing w:line="226" w:lineRule="exact"/>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绩效目标与实际工作内容是否具有相关性（1分），绩效目标是否合理。（1分）</w:t>
            </w:r>
          </w:p>
        </w:tc>
        <w:tc>
          <w:tcPr>
            <w:tcW w:w="2910" w:type="dxa"/>
            <w:vAlign w:val="center"/>
          </w:tcPr>
          <w:p>
            <w:pPr>
              <w:spacing w:line="226" w:lineRule="exact"/>
              <w:jc w:val="left"/>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绩效目标与实际工作内容相关，设置合理，得2分</w:t>
            </w:r>
          </w:p>
        </w:tc>
        <w:tc>
          <w:tcPr>
            <w:tcW w:w="617" w:type="dxa"/>
            <w:vAlign w:val="center"/>
          </w:tcPr>
          <w:p>
            <w:pPr>
              <w:spacing w:line="226" w:lineRule="exact"/>
              <w:jc w:val="center"/>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2</w:t>
            </w:r>
          </w:p>
        </w:tc>
        <w:tc>
          <w:tcPr>
            <w:tcW w:w="441" w:type="dxa"/>
            <w:vAlign w:val="center"/>
          </w:tcPr>
          <w:p>
            <w:pPr>
              <w:spacing w:line="226" w:lineRule="exact"/>
              <w:jc w:val="center"/>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42" w:type="dxa"/>
          <w:trHeight w:val="424" w:hRule="atLeast"/>
          <w:jc w:val="center"/>
        </w:trPr>
        <w:tc>
          <w:tcPr>
            <w:tcW w:w="861" w:type="dxa"/>
            <w:vMerge w:val="continue"/>
            <w:vAlign w:val="center"/>
          </w:tcPr>
          <w:p>
            <w:pPr>
              <w:spacing w:line="226" w:lineRule="exact"/>
              <w:rPr>
                <w:rFonts w:hint="eastAsia" w:ascii="方正仿宋_GBK" w:hAnsi="方正仿宋_GBK" w:eastAsia="方正仿宋_GBK" w:cs="方正仿宋_GBK"/>
                <w:bCs/>
                <w:sz w:val="20"/>
                <w:szCs w:val="20"/>
              </w:rPr>
            </w:pPr>
          </w:p>
        </w:tc>
        <w:tc>
          <w:tcPr>
            <w:tcW w:w="919" w:type="dxa"/>
            <w:vMerge w:val="continue"/>
            <w:vAlign w:val="center"/>
          </w:tcPr>
          <w:p>
            <w:pPr>
              <w:spacing w:line="226" w:lineRule="exact"/>
              <w:rPr>
                <w:rFonts w:hint="eastAsia" w:ascii="方正仿宋_GBK" w:hAnsi="方正仿宋_GBK" w:eastAsia="方正仿宋_GBK" w:cs="方正仿宋_GBK"/>
                <w:bCs/>
                <w:sz w:val="20"/>
                <w:szCs w:val="20"/>
              </w:rPr>
            </w:pPr>
          </w:p>
        </w:tc>
        <w:tc>
          <w:tcPr>
            <w:tcW w:w="1711" w:type="dxa"/>
            <w:vAlign w:val="center"/>
          </w:tcPr>
          <w:p>
            <w:pPr>
              <w:spacing w:line="226" w:lineRule="exact"/>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绩效指标明确性</w:t>
            </w:r>
          </w:p>
        </w:tc>
        <w:tc>
          <w:tcPr>
            <w:tcW w:w="976" w:type="dxa"/>
            <w:vAlign w:val="center"/>
          </w:tcPr>
          <w:p>
            <w:pPr>
              <w:spacing w:line="226" w:lineRule="exact"/>
              <w:jc w:val="center"/>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明确</w:t>
            </w:r>
          </w:p>
        </w:tc>
        <w:tc>
          <w:tcPr>
            <w:tcW w:w="2340" w:type="dxa"/>
            <w:vAlign w:val="center"/>
          </w:tcPr>
          <w:p>
            <w:pPr>
              <w:spacing w:line="226" w:lineRule="exact"/>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是否细化分解为具体明确的（1分），指标值是否清晰、可衡量（1分）</w:t>
            </w:r>
          </w:p>
        </w:tc>
        <w:tc>
          <w:tcPr>
            <w:tcW w:w="2910" w:type="dxa"/>
            <w:vAlign w:val="center"/>
          </w:tcPr>
          <w:p>
            <w:pPr>
              <w:spacing w:line="226" w:lineRule="exact"/>
              <w:jc w:val="left"/>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绩效指标明确，清晰、可衡量，得2分</w:t>
            </w:r>
          </w:p>
        </w:tc>
        <w:tc>
          <w:tcPr>
            <w:tcW w:w="617" w:type="dxa"/>
            <w:vAlign w:val="center"/>
          </w:tcPr>
          <w:p>
            <w:pPr>
              <w:spacing w:line="226" w:lineRule="exact"/>
              <w:jc w:val="center"/>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2</w:t>
            </w:r>
          </w:p>
        </w:tc>
        <w:tc>
          <w:tcPr>
            <w:tcW w:w="441" w:type="dxa"/>
            <w:vAlign w:val="center"/>
          </w:tcPr>
          <w:p>
            <w:pPr>
              <w:spacing w:line="226" w:lineRule="exact"/>
              <w:jc w:val="center"/>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42" w:type="dxa"/>
          <w:trHeight w:val="424" w:hRule="atLeast"/>
          <w:jc w:val="center"/>
        </w:trPr>
        <w:tc>
          <w:tcPr>
            <w:tcW w:w="861" w:type="dxa"/>
            <w:vMerge w:val="continue"/>
            <w:vAlign w:val="center"/>
          </w:tcPr>
          <w:p>
            <w:pPr>
              <w:spacing w:line="226" w:lineRule="exact"/>
              <w:rPr>
                <w:rFonts w:hint="eastAsia" w:ascii="方正仿宋_GBK" w:hAnsi="方正仿宋_GBK" w:eastAsia="方正仿宋_GBK" w:cs="方正仿宋_GBK"/>
                <w:bCs/>
                <w:sz w:val="20"/>
                <w:szCs w:val="20"/>
              </w:rPr>
            </w:pPr>
          </w:p>
        </w:tc>
        <w:tc>
          <w:tcPr>
            <w:tcW w:w="919" w:type="dxa"/>
            <w:vMerge w:val="restart"/>
            <w:vAlign w:val="center"/>
          </w:tcPr>
          <w:p>
            <w:pPr>
              <w:spacing w:line="226" w:lineRule="exact"/>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预算编制</w:t>
            </w:r>
          </w:p>
        </w:tc>
        <w:tc>
          <w:tcPr>
            <w:tcW w:w="1711" w:type="dxa"/>
            <w:vAlign w:val="center"/>
          </w:tcPr>
          <w:p>
            <w:pPr>
              <w:spacing w:line="226" w:lineRule="exact"/>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 xml:space="preserve">预算编制科学性 </w:t>
            </w:r>
          </w:p>
        </w:tc>
        <w:tc>
          <w:tcPr>
            <w:tcW w:w="976" w:type="dxa"/>
            <w:vAlign w:val="center"/>
          </w:tcPr>
          <w:p>
            <w:pPr>
              <w:spacing w:line="226" w:lineRule="exact"/>
              <w:jc w:val="center"/>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科学</w:t>
            </w:r>
          </w:p>
        </w:tc>
        <w:tc>
          <w:tcPr>
            <w:tcW w:w="2340" w:type="dxa"/>
            <w:vAlign w:val="center"/>
          </w:tcPr>
          <w:p>
            <w:pPr>
              <w:spacing w:line="226" w:lineRule="exact"/>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预算编制是否经过科学论证（1分），预算额度测算依据是否充分，是否按照标准编制（1分）</w:t>
            </w:r>
          </w:p>
        </w:tc>
        <w:tc>
          <w:tcPr>
            <w:tcW w:w="2910" w:type="dxa"/>
            <w:vAlign w:val="center"/>
          </w:tcPr>
          <w:p>
            <w:pPr>
              <w:spacing w:line="226" w:lineRule="exact"/>
              <w:jc w:val="left"/>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预算编制,经过科学论证，预算额度测算依据充分，按照标准编制，得2分</w:t>
            </w:r>
          </w:p>
        </w:tc>
        <w:tc>
          <w:tcPr>
            <w:tcW w:w="617" w:type="dxa"/>
            <w:vAlign w:val="center"/>
          </w:tcPr>
          <w:p>
            <w:pPr>
              <w:spacing w:line="226" w:lineRule="exact"/>
              <w:jc w:val="center"/>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2</w:t>
            </w:r>
          </w:p>
        </w:tc>
        <w:tc>
          <w:tcPr>
            <w:tcW w:w="441" w:type="dxa"/>
            <w:vAlign w:val="center"/>
          </w:tcPr>
          <w:p>
            <w:pPr>
              <w:spacing w:line="226" w:lineRule="exact"/>
              <w:jc w:val="center"/>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42" w:type="dxa"/>
          <w:trHeight w:val="424" w:hRule="atLeast"/>
          <w:jc w:val="center"/>
        </w:trPr>
        <w:tc>
          <w:tcPr>
            <w:tcW w:w="861" w:type="dxa"/>
            <w:vMerge w:val="continue"/>
            <w:vAlign w:val="center"/>
          </w:tcPr>
          <w:p>
            <w:pPr>
              <w:spacing w:line="226" w:lineRule="exact"/>
              <w:rPr>
                <w:rFonts w:hint="eastAsia" w:ascii="方正仿宋_GBK" w:hAnsi="方正仿宋_GBK" w:eastAsia="方正仿宋_GBK" w:cs="方正仿宋_GBK"/>
                <w:bCs/>
                <w:sz w:val="20"/>
                <w:szCs w:val="20"/>
              </w:rPr>
            </w:pPr>
          </w:p>
        </w:tc>
        <w:tc>
          <w:tcPr>
            <w:tcW w:w="919" w:type="dxa"/>
            <w:vMerge w:val="continue"/>
            <w:vAlign w:val="center"/>
          </w:tcPr>
          <w:p>
            <w:pPr>
              <w:spacing w:line="226" w:lineRule="exact"/>
              <w:rPr>
                <w:rFonts w:hint="eastAsia" w:ascii="方正仿宋_GBK" w:hAnsi="方正仿宋_GBK" w:eastAsia="方正仿宋_GBK" w:cs="方正仿宋_GBK"/>
                <w:bCs/>
                <w:sz w:val="20"/>
                <w:szCs w:val="20"/>
              </w:rPr>
            </w:pPr>
          </w:p>
        </w:tc>
        <w:tc>
          <w:tcPr>
            <w:tcW w:w="1711" w:type="dxa"/>
            <w:vAlign w:val="center"/>
          </w:tcPr>
          <w:p>
            <w:pPr>
              <w:spacing w:line="226" w:lineRule="exact"/>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预算编制规范性</w:t>
            </w:r>
          </w:p>
        </w:tc>
        <w:tc>
          <w:tcPr>
            <w:tcW w:w="976" w:type="dxa"/>
            <w:vAlign w:val="center"/>
          </w:tcPr>
          <w:p>
            <w:pPr>
              <w:spacing w:line="226" w:lineRule="exact"/>
              <w:jc w:val="center"/>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规范</w:t>
            </w:r>
          </w:p>
        </w:tc>
        <w:tc>
          <w:tcPr>
            <w:tcW w:w="2340" w:type="dxa"/>
            <w:vAlign w:val="center"/>
          </w:tcPr>
          <w:p>
            <w:pPr>
              <w:spacing w:line="226" w:lineRule="exact"/>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项目是否按照程序规范申请设立（1分），事前是否已经过必要的可行性研究、评估（1分）</w:t>
            </w:r>
          </w:p>
        </w:tc>
        <w:tc>
          <w:tcPr>
            <w:tcW w:w="2910" w:type="dxa"/>
            <w:vAlign w:val="center"/>
          </w:tcPr>
          <w:p>
            <w:pPr>
              <w:spacing w:line="226" w:lineRule="exact"/>
              <w:jc w:val="left"/>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项目按照程序规范设立，事前已经过必要的可行性研究、评估，得2分</w:t>
            </w:r>
          </w:p>
        </w:tc>
        <w:tc>
          <w:tcPr>
            <w:tcW w:w="617" w:type="dxa"/>
            <w:vAlign w:val="center"/>
          </w:tcPr>
          <w:p>
            <w:pPr>
              <w:spacing w:line="226" w:lineRule="exact"/>
              <w:jc w:val="center"/>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2</w:t>
            </w:r>
          </w:p>
        </w:tc>
        <w:tc>
          <w:tcPr>
            <w:tcW w:w="441" w:type="dxa"/>
            <w:vAlign w:val="center"/>
          </w:tcPr>
          <w:p>
            <w:pPr>
              <w:spacing w:line="226" w:lineRule="exact"/>
              <w:jc w:val="center"/>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42" w:type="dxa"/>
          <w:trHeight w:val="568" w:hRule="atLeast"/>
          <w:jc w:val="center"/>
        </w:trPr>
        <w:tc>
          <w:tcPr>
            <w:tcW w:w="861" w:type="dxa"/>
            <w:vMerge w:val="restart"/>
            <w:tcBorders>
              <w:top w:val="single" w:color="auto" w:sz="4" w:space="0"/>
              <w:left w:val="single" w:color="auto" w:sz="4" w:space="0"/>
              <w:right w:val="single" w:color="auto" w:sz="4" w:space="0"/>
            </w:tcBorders>
            <w:vAlign w:val="center"/>
          </w:tcPr>
          <w:p>
            <w:pPr>
              <w:spacing w:line="226" w:lineRule="exact"/>
              <w:jc w:val="center"/>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过程（58）</w:t>
            </w:r>
          </w:p>
        </w:tc>
        <w:tc>
          <w:tcPr>
            <w:tcW w:w="919" w:type="dxa"/>
            <w:vMerge w:val="restart"/>
            <w:tcBorders>
              <w:top w:val="single" w:color="auto" w:sz="4" w:space="0"/>
              <w:left w:val="single" w:color="auto" w:sz="4" w:space="0"/>
              <w:bottom w:val="single" w:color="auto" w:sz="4" w:space="0"/>
              <w:right w:val="single" w:color="auto" w:sz="4" w:space="0"/>
            </w:tcBorders>
            <w:vAlign w:val="center"/>
          </w:tcPr>
          <w:p>
            <w:pPr>
              <w:spacing w:line="226" w:lineRule="exact"/>
              <w:jc w:val="center"/>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预算执行</w:t>
            </w:r>
          </w:p>
        </w:tc>
        <w:tc>
          <w:tcPr>
            <w:tcW w:w="1711" w:type="dxa"/>
            <w:tcBorders>
              <w:top w:val="single" w:color="auto" w:sz="4" w:space="0"/>
              <w:left w:val="single" w:color="auto" w:sz="4" w:space="0"/>
              <w:bottom w:val="single" w:color="auto" w:sz="4" w:space="0"/>
              <w:right w:val="single" w:color="auto" w:sz="4" w:space="0"/>
            </w:tcBorders>
            <w:vAlign w:val="center"/>
          </w:tcPr>
          <w:p>
            <w:pPr>
              <w:spacing w:line="226" w:lineRule="exact"/>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预算调整率</w:t>
            </w:r>
          </w:p>
        </w:tc>
        <w:tc>
          <w:tcPr>
            <w:tcW w:w="976" w:type="dxa"/>
            <w:tcBorders>
              <w:top w:val="single" w:color="auto" w:sz="4" w:space="0"/>
              <w:left w:val="single" w:color="auto" w:sz="4" w:space="0"/>
              <w:bottom w:val="single" w:color="auto" w:sz="4" w:space="0"/>
              <w:right w:val="single" w:color="auto" w:sz="4" w:space="0"/>
            </w:tcBorders>
            <w:vAlign w:val="center"/>
          </w:tcPr>
          <w:p>
            <w:pPr>
              <w:spacing w:line="226" w:lineRule="exact"/>
              <w:jc w:val="center"/>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＝0%</w:t>
            </w:r>
          </w:p>
        </w:tc>
        <w:tc>
          <w:tcPr>
            <w:tcW w:w="2340" w:type="dxa"/>
            <w:tcBorders>
              <w:top w:val="single" w:color="auto" w:sz="4" w:space="0"/>
              <w:left w:val="single" w:color="auto" w:sz="4" w:space="0"/>
              <w:bottom w:val="single" w:color="auto" w:sz="4" w:space="0"/>
              <w:right w:val="single" w:color="auto" w:sz="4" w:space="0"/>
            </w:tcBorders>
            <w:vAlign w:val="center"/>
          </w:tcPr>
          <w:p>
            <w:pPr>
              <w:spacing w:line="226" w:lineRule="exact"/>
              <w:rPr>
                <w:rFonts w:hint="eastAsia" w:ascii="方正仿宋_GBK" w:hAnsi="方正仿宋_GBK" w:eastAsia="方正仿宋_GBK" w:cs="方正仿宋_GBK"/>
                <w:bCs/>
                <w:color w:val="auto"/>
                <w:sz w:val="20"/>
                <w:szCs w:val="20"/>
              </w:rPr>
            </w:pPr>
            <w:r>
              <w:rPr>
                <w:rFonts w:hint="eastAsia" w:ascii="方正仿宋_GBK" w:hAnsi="方正仿宋_GBK" w:eastAsia="方正仿宋_GBK" w:cs="方正仿宋_GBK"/>
                <w:bCs/>
                <w:color w:val="auto"/>
                <w:sz w:val="20"/>
                <w:szCs w:val="20"/>
              </w:rPr>
              <w:t>预算过程中是否中途变更调整，调整手续是否完备合规（</w:t>
            </w:r>
            <w:r>
              <w:rPr>
                <w:rFonts w:hint="eastAsia" w:ascii="方正仿宋_GBK" w:hAnsi="方正仿宋_GBK" w:eastAsia="方正仿宋_GBK" w:cs="方正仿宋_GBK"/>
                <w:bCs/>
                <w:color w:val="auto"/>
                <w:sz w:val="20"/>
                <w:szCs w:val="20"/>
                <w:lang w:val="en-US" w:eastAsia="zh-CN"/>
              </w:rPr>
              <w:t>2</w:t>
            </w:r>
            <w:r>
              <w:rPr>
                <w:rFonts w:hint="eastAsia" w:ascii="方正仿宋_GBK" w:hAnsi="方正仿宋_GBK" w:eastAsia="方正仿宋_GBK" w:cs="方正仿宋_GBK"/>
                <w:bCs/>
                <w:color w:val="auto"/>
                <w:sz w:val="20"/>
                <w:szCs w:val="20"/>
              </w:rPr>
              <w:t>分）</w:t>
            </w:r>
          </w:p>
        </w:tc>
        <w:tc>
          <w:tcPr>
            <w:tcW w:w="2910" w:type="dxa"/>
            <w:tcBorders>
              <w:top w:val="single" w:color="auto" w:sz="4" w:space="0"/>
              <w:left w:val="single" w:color="auto" w:sz="4" w:space="0"/>
              <w:bottom w:val="single" w:color="auto" w:sz="4" w:space="0"/>
              <w:right w:val="single" w:color="auto" w:sz="4" w:space="0"/>
            </w:tcBorders>
            <w:vAlign w:val="center"/>
          </w:tcPr>
          <w:p>
            <w:pPr>
              <w:spacing w:line="226" w:lineRule="exact"/>
              <w:jc w:val="left"/>
              <w:rPr>
                <w:rFonts w:hint="eastAsia" w:ascii="方正仿宋_GBK" w:hAnsi="方正仿宋_GBK" w:eastAsia="方正仿宋_GBK" w:cs="方正仿宋_GBK"/>
                <w:bCs/>
                <w:color w:val="auto"/>
                <w:sz w:val="20"/>
                <w:szCs w:val="20"/>
              </w:rPr>
            </w:pPr>
            <w:r>
              <w:rPr>
                <w:rFonts w:hint="eastAsia" w:ascii="方正仿宋_GBK" w:hAnsi="方正仿宋_GBK" w:eastAsia="方正仿宋_GBK" w:cs="方正仿宋_GBK"/>
                <w:bCs/>
                <w:color w:val="auto"/>
                <w:sz w:val="20"/>
                <w:szCs w:val="20"/>
              </w:rPr>
              <w:t>预算过程中未申请变更调整，得</w:t>
            </w:r>
            <w:r>
              <w:rPr>
                <w:rFonts w:hint="eastAsia" w:ascii="方正仿宋_GBK" w:hAnsi="方正仿宋_GBK" w:eastAsia="方正仿宋_GBK" w:cs="方正仿宋_GBK"/>
                <w:bCs/>
                <w:color w:val="auto"/>
                <w:sz w:val="20"/>
                <w:szCs w:val="20"/>
                <w:lang w:val="en-US" w:eastAsia="zh-CN"/>
              </w:rPr>
              <w:t>2</w:t>
            </w:r>
            <w:r>
              <w:rPr>
                <w:rFonts w:hint="eastAsia" w:ascii="方正仿宋_GBK" w:hAnsi="方正仿宋_GBK" w:eastAsia="方正仿宋_GBK" w:cs="方正仿宋_GBK"/>
                <w:bCs/>
                <w:color w:val="auto"/>
                <w:sz w:val="20"/>
                <w:szCs w:val="20"/>
              </w:rPr>
              <w:t>分</w:t>
            </w:r>
          </w:p>
        </w:tc>
        <w:tc>
          <w:tcPr>
            <w:tcW w:w="617" w:type="dxa"/>
            <w:tcBorders>
              <w:top w:val="single" w:color="auto" w:sz="4" w:space="0"/>
              <w:left w:val="single" w:color="auto" w:sz="4" w:space="0"/>
              <w:bottom w:val="single" w:color="auto" w:sz="4" w:space="0"/>
              <w:right w:val="single" w:color="auto" w:sz="4" w:space="0"/>
            </w:tcBorders>
            <w:vAlign w:val="center"/>
          </w:tcPr>
          <w:p>
            <w:pPr>
              <w:spacing w:line="226" w:lineRule="exact"/>
              <w:jc w:val="center"/>
              <w:rPr>
                <w:rFonts w:hint="eastAsia" w:ascii="方正仿宋_GBK" w:hAnsi="方正仿宋_GBK" w:eastAsia="方正仿宋_GBK" w:cs="方正仿宋_GBK"/>
                <w:bCs/>
                <w:color w:val="auto"/>
                <w:sz w:val="20"/>
                <w:szCs w:val="20"/>
                <w:lang w:eastAsia="zh-CN"/>
              </w:rPr>
            </w:pPr>
            <w:r>
              <w:rPr>
                <w:rFonts w:hint="eastAsia" w:ascii="方正仿宋_GBK" w:hAnsi="方正仿宋_GBK" w:eastAsia="方正仿宋_GBK" w:cs="方正仿宋_GBK"/>
                <w:bCs/>
                <w:color w:val="auto"/>
                <w:sz w:val="20"/>
                <w:szCs w:val="20"/>
                <w:lang w:val="en-US" w:eastAsia="zh-CN"/>
              </w:rPr>
              <w:t>2</w:t>
            </w:r>
          </w:p>
        </w:tc>
        <w:tc>
          <w:tcPr>
            <w:tcW w:w="441" w:type="dxa"/>
            <w:tcBorders>
              <w:top w:val="single" w:color="auto" w:sz="4" w:space="0"/>
              <w:left w:val="single" w:color="auto" w:sz="4" w:space="0"/>
              <w:bottom w:val="single" w:color="auto" w:sz="4" w:space="0"/>
              <w:right w:val="single" w:color="auto" w:sz="4" w:space="0"/>
            </w:tcBorders>
            <w:vAlign w:val="center"/>
          </w:tcPr>
          <w:p>
            <w:pPr>
              <w:spacing w:line="226" w:lineRule="exact"/>
              <w:jc w:val="center"/>
              <w:rPr>
                <w:rFonts w:hint="eastAsia" w:ascii="方正仿宋_GBK" w:hAnsi="方正仿宋_GBK" w:eastAsia="方正仿宋_GBK" w:cs="方正仿宋_GBK"/>
                <w:bCs/>
                <w:color w:val="auto"/>
                <w:sz w:val="20"/>
                <w:szCs w:val="20"/>
                <w:lang w:eastAsia="zh-CN"/>
              </w:rPr>
            </w:pPr>
            <w:r>
              <w:rPr>
                <w:rFonts w:hint="eastAsia" w:ascii="方正仿宋_GBK" w:hAnsi="方正仿宋_GBK" w:eastAsia="方正仿宋_GBK" w:cs="方正仿宋_GBK"/>
                <w:bCs/>
                <w:color w:val="auto"/>
                <w:sz w:val="20"/>
                <w:szCs w:val="20"/>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42" w:type="dxa"/>
          <w:trHeight w:val="624" w:hRule="atLeast"/>
          <w:jc w:val="center"/>
        </w:trPr>
        <w:tc>
          <w:tcPr>
            <w:tcW w:w="861" w:type="dxa"/>
            <w:vMerge w:val="continue"/>
            <w:tcBorders>
              <w:left w:val="single" w:color="auto" w:sz="4" w:space="0"/>
              <w:right w:val="single" w:color="auto" w:sz="4" w:space="0"/>
            </w:tcBorders>
            <w:vAlign w:val="center"/>
          </w:tcPr>
          <w:p>
            <w:pPr>
              <w:spacing w:line="226" w:lineRule="exact"/>
              <w:rPr>
                <w:rFonts w:hint="eastAsia" w:ascii="方正仿宋_GBK" w:hAnsi="方正仿宋_GBK" w:eastAsia="方正仿宋_GBK" w:cs="方正仿宋_GBK"/>
                <w:bCs/>
                <w:sz w:val="20"/>
                <w:szCs w:val="20"/>
              </w:rPr>
            </w:pPr>
          </w:p>
        </w:tc>
        <w:tc>
          <w:tcPr>
            <w:tcW w:w="919" w:type="dxa"/>
            <w:vMerge w:val="continue"/>
            <w:tcBorders>
              <w:top w:val="single" w:color="auto" w:sz="4" w:space="0"/>
              <w:left w:val="single" w:color="auto" w:sz="4" w:space="0"/>
              <w:bottom w:val="single" w:color="auto" w:sz="4" w:space="0"/>
              <w:right w:val="single" w:color="auto" w:sz="4" w:space="0"/>
            </w:tcBorders>
            <w:vAlign w:val="center"/>
          </w:tcPr>
          <w:p>
            <w:pPr>
              <w:spacing w:line="226" w:lineRule="exact"/>
              <w:rPr>
                <w:rFonts w:hint="eastAsia" w:ascii="方正仿宋_GBK" w:hAnsi="方正仿宋_GBK" w:eastAsia="方正仿宋_GBK" w:cs="方正仿宋_GBK"/>
                <w:bCs/>
                <w:sz w:val="20"/>
                <w:szCs w:val="20"/>
              </w:rPr>
            </w:pPr>
          </w:p>
        </w:tc>
        <w:tc>
          <w:tcPr>
            <w:tcW w:w="1711" w:type="dxa"/>
            <w:tcBorders>
              <w:top w:val="single" w:color="auto" w:sz="4" w:space="0"/>
              <w:left w:val="single" w:color="auto" w:sz="4" w:space="0"/>
              <w:bottom w:val="single" w:color="auto" w:sz="4" w:space="0"/>
              <w:right w:val="single" w:color="auto" w:sz="4" w:space="0"/>
            </w:tcBorders>
            <w:vAlign w:val="center"/>
          </w:tcPr>
          <w:p>
            <w:pPr>
              <w:spacing w:line="226" w:lineRule="exact"/>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支付进度符合率</w:t>
            </w:r>
          </w:p>
        </w:tc>
        <w:tc>
          <w:tcPr>
            <w:tcW w:w="976" w:type="dxa"/>
            <w:tcBorders>
              <w:top w:val="single" w:color="auto" w:sz="4" w:space="0"/>
              <w:left w:val="single" w:color="auto" w:sz="4" w:space="0"/>
              <w:bottom w:val="single" w:color="auto" w:sz="4" w:space="0"/>
              <w:right w:val="single" w:color="auto" w:sz="4" w:space="0"/>
            </w:tcBorders>
            <w:vAlign w:val="center"/>
          </w:tcPr>
          <w:p>
            <w:pPr>
              <w:spacing w:line="226" w:lineRule="exact"/>
              <w:jc w:val="center"/>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＝100%</w:t>
            </w:r>
          </w:p>
        </w:tc>
        <w:tc>
          <w:tcPr>
            <w:tcW w:w="2340" w:type="dxa"/>
            <w:tcBorders>
              <w:top w:val="single" w:color="auto" w:sz="4" w:space="0"/>
              <w:left w:val="single" w:color="auto" w:sz="4" w:space="0"/>
              <w:bottom w:val="single" w:color="auto" w:sz="4" w:space="0"/>
              <w:right w:val="single" w:color="auto" w:sz="4" w:space="0"/>
            </w:tcBorders>
            <w:vAlign w:val="center"/>
          </w:tcPr>
          <w:p>
            <w:pPr>
              <w:spacing w:line="226" w:lineRule="exact"/>
              <w:rPr>
                <w:rFonts w:hint="eastAsia" w:ascii="方正仿宋_GBK" w:hAnsi="方正仿宋_GBK" w:eastAsia="方正仿宋_GBK" w:cs="方正仿宋_GBK"/>
                <w:bCs/>
                <w:color w:val="auto"/>
                <w:sz w:val="20"/>
                <w:szCs w:val="20"/>
              </w:rPr>
            </w:pPr>
            <w:r>
              <w:rPr>
                <w:rFonts w:hint="eastAsia" w:ascii="方正仿宋_GBK" w:hAnsi="方正仿宋_GBK" w:eastAsia="方正仿宋_GBK" w:cs="方正仿宋_GBK"/>
                <w:bCs/>
                <w:color w:val="auto"/>
                <w:sz w:val="20"/>
                <w:szCs w:val="20"/>
              </w:rPr>
              <w:t>是否符合预算批复或合同规定的用途（2分）</w:t>
            </w:r>
          </w:p>
        </w:tc>
        <w:tc>
          <w:tcPr>
            <w:tcW w:w="2910" w:type="dxa"/>
            <w:tcBorders>
              <w:top w:val="single" w:color="auto" w:sz="4" w:space="0"/>
              <w:left w:val="single" w:color="auto" w:sz="4" w:space="0"/>
              <w:bottom w:val="single" w:color="auto" w:sz="4" w:space="0"/>
              <w:right w:val="single" w:color="auto" w:sz="4" w:space="0"/>
            </w:tcBorders>
            <w:vAlign w:val="center"/>
          </w:tcPr>
          <w:p>
            <w:pPr>
              <w:spacing w:line="226" w:lineRule="exact"/>
              <w:jc w:val="left"/>
              <w:rPr>
                <w:rFonts w:hint="eastAsia" w:ascii="方正仿宋_GBK" w:hAnsi="方正仿宋_GBK" w:eastAsia="方正仿宋_GBK" w:cs="方正仿宋_GBK"/>
                <w:bCs/>
                <w:color w:val="auto"/>
                <w:sz w:val="20"/>
                <w:szCs w:val="20"/>
              </w:rPr>
            </w:pPr>
            <w:r>
              <w:rPr>
                <w:rFonts w:hint="eastAsia" w:ascii="方正仿宋_GBK" w:hAnsi="方正仿宋_GBK" w:eastAsia="方正仿宋_GBK" w:cs="方正仿宋_GBK"/>
                <w:bCs/>
                <w:color w:val="auto"/>
                <w:sz w:val="20"/>
                <w:szCs w:val="20"/>
              </w:rPr>
              <w:t>支付中不存在截留、挤占、挪用等情况，得2分</w:t>
            </w:r>
          </w:p>
        </w:tc>
        <w:tc>
          <w:tcPr>
            <w:tcW w:w="617" w:type="dxa"/>
            <w:tcBorders>
              <w:top w:val="single" w:color="auto" w:sz="4" w:space="0"/>
              <w:left w:val="single" w:color="auto" w:sz="4" w:space="0"/>
              <w:bottom w:val="single" w:color="auto" w:sz="4" w:space="0"/>
              <w:right w:val="single" w:color="auto" w:sz="4" w:space="0"/>
            </w:tcBorders>
            <w:vAlign w:val="center"/>
          </w:tcPr>
          <w:p>
            <w:pPr>
              <w:spacing w:line="226" w:lineRule="exact"/>
              <w:jc w:val="center"/>
              <w:rPr>
                <w:rFonts w:hint="eastAsia" w:ascii="方正仿宋_GBK" w:hAnsi="方正仿宋_GBK" w:eastAsia="方正仿宋_GBK" w:cs="方正仿宋_GBK"/>
                <w:bCs/>
                <w:color w:val="auto"/>
                <w:sz w:val="20"/>
                <w:szCs w:val="20"/>
              </w:rPr>
            </w:pPr>
            <w:r>
              <w:rPr>
                <w:rFonts w:hint="eastAsia" w:ascii="方正仿宋_GBK" w:hAnsi="方正仿宋_GBK" w:eastAsia="方正仿宋_GBK" w:cs="方正仿宋_GBK"/>
                <w:bCs/>
                <w:color w:val="auto"/>
                <w:sz w:val="20"/>
                <w:szCs w:val="20"/>
              </w:rPr>
              <w:t>2</w:t>
            </w:r>
          </w:p>
        </w:tc>
        <w:tc>
          <w:tcPr>
            <w:tcW w:w="441" w:type="dxa"/>
            <w:tcBorders>
              <w:top w:val="single" w:color="auto" w:sz="4" w:space="0"/>
              <w:left w:val="single" w:color="auto" w:sz="4" w:space="0"/>
              <w:bottom w:val="single" w:color="auto" w:sz="4" w:space="0"/>
              <w:right w:val="single" w:color="auto" w:sz="4" w:space="0"/>
            </w:tcBorders>
            <w:vAlign w:val="center"/>
          </w:tcPr>
          <w:p>
            <w:pPr>
              <w:spacing w:line="226" w:lineRule="exact"/>
              <w:jc w:val="center"/>
              <w:rPr>
                <w:rFonts w:hint="eastAsia" w:ascii="方正仿宋_GBK" w:hAnsi="方正仿宋_GBK" w:eastAsia="方正仿宋_GBK" w:cs="方正仿宋_GBK"/>
                <w:bCs/>
                <w:color w:val="auto"/>
                <w:sz w:val="20"/>
                <w:szCs w:val="20"/>
              </w:rPr>
            </w:pPr>
            <w:r>
              <w:rPr>
                <w:rFonts w:hint="eastAsia" w:ascii="方正仿宋_GBK" w:hAnsi="方正仿宋_GBK" w:eastAsia="方正仿宋_GBK" w:cs="方正仿宋_GBK"/>
                <w:bCs/>
                <w:color w:val="auto"/>
                <w:sz w:val="20"/>
                <w:szCs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42" w:type="dxa"/>
          <w:trHeight w:val="424" w:hRule="atLeast"/>
          <w:jc w:val="center"/>
        </w:trPr>
        <w:tc>
          <w:tcPr>
            <w:tcW w:w="861" w:type="dxa"/>
            <w:vMerge w:val="continue"/>
            <w:tcBorders>
              <w:left w:val="single" w:color="auto" w:sz="4" w:space="0"/>
              <w:right w:val="single" w:color="auto" w:sz="4" w:space="0"/>
            </w:tcBorders>
            <w:vAlign w:val="center"/>
          </w:tcPr>
          <w:p>
            <w:pPr>
              <w:spacing w:line="226" w:lineRule="exact"/>
              <w:rPr>
                <w:rFonts w:hint="eastAsia" w:ascii="方正仿宋_GBK" w:hAnsi="方正仿宋_GBK" w:eastAsia="方正仿宋_GBK" w:cs="方正仿宋_GBK"/>
                <w:bCs/>
                <w:sz w:val="20"/>
                <w:szCs w:val="20"/>
              </w:rPr>
            </w:pPr>
          </w:p>
        </w:tc>
        <w:tc>
          <w:tcPr>
            <w:tcW w:w="919" w:type="dxa"/>
            <w:vMerge w:val="continue"/>
            <w:tcBorders>
              <w:top w:val="single" w:color="auto" w:sz="4" w:space="0"/>
              <w:left w:val="single" w:color="auto" w:sz="4" w:space="0"/>
              <w:bottom w:val="single" w:color="auto" w:sz="4" w:space="0"/>
              <w:right w:val="single" w:color="auto" w:sz="4" w:space="0"/>
            </w:tcBorders>
            <w:vAlign w:val="center"/>
          </w:tcPr>
          <w:p>
            <w:pPr>
              <w:spacing w:line="226" w:lineRule="exact"/>
              <w:rPr>
                <w:rFonts w:hint="eastAsia" w:ascii="方正仿宋_GBK" w:hAnsi="方正仿宋_GBK" w:eastAsia="方正仿宋_GBK" w:cs="方正仿宋_GBK"/>
                <w:bCs/>
                <w:sz w:val="20"/>
                <w:szCs w:val="20"/>
              </w:rPr>
            </w:pPr>
          </w:p>
        </w:tc>
        <w:tc>
          <w:tcPr>
            <w:tcW w:w="1711" w:type="dxa"/>
            <w:tcBorders>
              <w:top w:val="single" w:color="auto" w:sz="4" w:space="0"/>
              <w:left w:val="single" w:color="auto" w:sz="4" w:space="0"/>
              <w:bottom w:val="single" w:color="auto" w:sz="4" w:space="0"/>
              <w:right w:val="single" w:color="auto" w:sz="4" w:space="0"/>
            </w:tcBorders>
            <w:vAlign w:val="center"/>
          </w:tcPr>
          <w:p>
            <w:pPr>
              <w:spacing w:line="226" w:lineRule="exact"/>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预算执行率</w:t>
            </w:r>
          </w:p>
        </w:tc>
        <w:tc>
          <w:tcPr>
            <w:tcW w:w="976" w:type="dxa"/>
            <w:tcBorders>
              <w:top w:val="single" w:color="auto" w:sz="4" w:space="0"/>
              <w:left w:val="single" w:color="auto" w:sz="4" w:space="0"/>
              <w:bottom w:val="single" w:color="auto" w:sz="4" w:space="0"/>
              <w:right w:val="single" w:color="auto" w:sz="4" w:space="0"/>
            </w:tcBorders>
            <w:vAlign w:val="center"/>
          </w:tcPr>
          <w:p>
            <w:pPr>
              <w:spacing w:line="226" w:lineRule="exact"/>
              <w:jc w:val="center"/>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＝100%</w:t>
            </w:r>
          </w:p>
        </w:tc>
        <w:tc>
          <w:tcPr>
            <w:tcW w:w="2340" w:type="dxa"/>
            <w:tcBorders>
              <w:top w:val="single" w:color="auto" w:sz="4" w:space="0"/>
              <w:left w:val="single" w:color="auto" w:sz="4" w:space="0"/>
              <w:bottom w:val="single" w:color="auto" w:sz="4" w:space="0"/>
              <w:right w:val="single" w:color="auto" w:sz="4" w:space="0"/>
            </w:tcBorders>
            <w:vAlign w:val="center"/>
          </w:tcPr>
          <w:p>
            <w:pPr>
              <w:spacing w:line="226" w:lineRule="exact"/>
              <w:rPr>
                <w:rFonts w:hint="eastAsia" w:ascii="方正仿宋_GBK" w:hAnsi="方正仿宋_GBK" w:eastAsia="方正仿宋_GBK" w:cs="方正仿宋_GBK"/>
                <w:bCs/>
                <w:color w:val="auto"/>
                <w:sz w:val="20"/>
                <w:szCs w:val="20"/>
              </w:rPr>
            </w:pPr>
            <w:r>
              <w:rPr>
                <w:rFonts w:hint="eastAsia" w:ascii="方正仿宋_GBK" w:hAnsi="方正仿宋_GBK" w:eastAsia="方正仿宋_GBK" w:cs="方正仿宋_GBK"/>
                <w:bCs/>
                <w:color w:val="auto"/>
                <w:sz w:val="20"/>
                <w:szCs w:val="20"/>
              </w:rPr>
              <w:t>单位预算支出的预算执行情况（</w:t>
            </w:r>
            <w:r>
              <w:rPr>
                <w:rFonts w:hint="eastAsia" w:ascii="方正仿宋_GBK" w:hAnsi="方正仿宋_GBK" w:eastAsia="方正仿宋_GBK" w:cs="方正仿宋_GBK"/>
                <w:bCs/>
                <w:color w:val="auto"/>
                <w:sz w:val="20"/>
                <w:szCs w:val="20"/>
                <w:lang w:val="en-US" w:eastAsia="zh-CN"/>
              </w:rPr>
              <w:t>3</w:t>
            </w:r>
            <w:r>
              <w:rPr>
                <w:rFonts w:hint="eastAsia" w:ascii="方正仿宋_GBK" w:hAnsi="方正仿宋_GBK" w:eastAsia="方正仿宋_GBK" w:cs="方正仿宋_GBK"/>
                <w:bCs/>
                <w:color w:val="auto"/>
                <w:sz w:val="20"/>
                <w:szCs w:val="20"/>
              </w:rPr>
              <w:t>分）</w:t>
            </w:r>
          </w:p>
        </w:tc>
        <w:tc>
          <w:tcPr>
            <w:tcW w:w="2910" w:type="dxa"/>
            <w:tcBorders>
              <w:top w:val="single" w:color="auto" w:sz="4" w:space="0"/>
              <w:left w:val="single" w:color="auto" w:sz="4" w:space="0"/>
              <w:bottom w:val="single" w:color="auto" w:sz="4" w:space="0"/>
              <w:right w:val="single" w:color="auto" w:sz="4" w:space="0"/>
            </w:tcBorders>
            <w:vAlign w:val="center"/>
          </w:tcPr>
          <w:p>
            <w:pPr>
              <w:spacing w:line="226" w:lineRule="exact"/>
              <w:jc w:val="left"/>
              <w:rPr>
                <w:rFonts w:hint="eastAsia" w:ascii="方正仿宋_GBK" w:hAnsi="方正仿宋_GBK" w:eastAsia="方正仿宋_GBK" w:cs="方正仿宋_GBK"/>
                <w:bCs/>
                <w:color w:val="auto"/>
                <w:sz w:val="20"/>
                <w:szCs w:val="20"/>
              </w:rPr>
            </w:pPr>
            <w:r>
              <w:rPr>
                <w:rFonts w:hint="eastAsia" w:ascii="方正仿宋_GBK" w:hAnsi="方正仿宋_GBK" w:eastAsia="方正仿宋_GBK" w:cs="方正仿宋_GBK"/>
                <w:bCs/>
                <w:color w:val="auto"/>
                <w:sz w:val="20"/>
                <w:szCs w:val="20"/>
              </w:rPr>
              <w:t>单位预算实际执行率计算，未执行完毕，扣1分</w:t>
            </w:r>
          </w:p>
        </w:tc>
        <w:tc>
          <w:tcPr>
            <w:tcW w:w="617" w:type="dxa"/>
            <w:tcBorders>
              <w:top w:val="single" w:color="auto" w:sz="4" w:space="0"/>
              <w:left w:val="single" w:color="auto" w:sz="4" w:space="0"/>
              <w:bottom w:val="single" w:color="auto" w:sz="4" w:space="0"/>
              <w:right w:val="single" w:color="auto" w:sz="4" w:space="0"/>
            </w:tcBorders>
            <w:vAlign w:val="center"/>
          </w:tcPr>
          <w:p>
            <w:pPr>
              <w:spacing w:line="226" w:lineRule="exact"/>
              <w:jc w:val="center"/>
              <w:rPr>
                <w:rFonts w:hint="eastAsia" w:ascii="方正仿宋_GBK" w:hAnsi="方正仿宋_GBK" w:eastAsia="方正仿宋_GBK" w:cs="方正仿宋_GBK"/>
                <w:bCs/>
                <w:color w:val="auto"/>
                <w:sz w:val="20"/>
                <w:szCs w:val="20"/>
                <w:lang w:eastAsia="zh-CN"/>
              </w:rPr>
            </w:pPr>
            <w:r>
              <w:rPr>
                <w:rFonts w:hint="eastAsia" w:ascii="方正仿宋_GBK" w:hAnsi="方正仿宋_GBK" w:eastAsia="方正仿宋_GBK" w:cs="方正仿宋_GBK"/>
                <w:bCs/>
                <w:color w:val="auto"/>
                <w:sz w:val="20"/>
                <w:szCs w:val="20"/>
                <w:lang w:val="en-US" w:eastAsia="zh-CN"/>
              </w:rPr>
              <w:t>3</w:t>
            </w:r>
          </w:p>
        </w:tc>
        <w:tc>
          <w:tcPr>
            <w:tcW w:w="441" w:type="dxa"/>
            <w:tcBorders>
              <w:top w:val="single" w:color="auto" w:sz="4" w:space="0"/>
              <w:left w:val="single" w:color="auto" w:sz="4" w:space="0"/>
              <w:bottom w:val="single" w:color="auto" w:sz="4" w:space="0"/>
              <w:right w:val="single" w:color="auto" w:sz="4" w:space="0"/>
            </w:tcBorders>
            <w:vAlign w:val="center"/>
          </w:tcPr>
          <w:p>
            <w:pPr>
              <w:spacing w:line="226" w:lineRule="exact"/>
              <w:jc w:val="center"/>
              <w:rPr>
                <w:rFonts w:hint="eastAsia" w:ascii="方正仿宋_GBK" w:hAnsi="方正仿宋_GBK" w:eastAsia="方正仿宋_GBK" w:cs="方正仿宋_GBK"/>
                <w:bCs/>
                <w:color w:val="auto"/>
                <w:sz w:val="20"/>
                <w:szCs w:val="20"/>
                <w:lang w:eastAsia="zh-CN"/>
              </w:rPr>
            </w:pPr>
            <w:r>
              <w:rPr>
                <w:rFonts w:hint="eastAsia" w:ascii="方正仿宋_GBK" w:hAnsi="方正仿宋_GBK" w:eastAsia="方正仿宋_GBK" w:cs="方正仿宋_GBK"/>
                <w:bCs/>
                <w:color w:val="auto"/>
                <w:sz w:val="20"/>
                <w:szCs w:val="20"/>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42" w:type="dxa"/>
          <w:trHeight w:val="549" w:hRule="atLeast"/>
          <w:jc w:val="center"/>
        </w:trPr>
        <w:tc>
          <w:tcPr>
            <w:tcW w:w="861" w:type="dxa"/>
            <w:vMerge w:val="continue"/>
            <w:tcBorders>
              <w:left w:val="single" w:color="auto" w:sz="4" w:space="0"/>
              <w:right w:val="single" w:color="auto" w:sz="4" w:space="0"/>
            </w:tcBorders>
            <w:vAlign w:val="center"/>
          </w:tcPr>
          <w:p>
            <w:pPr>
              <w:spacing w:line="226" w:lineRule="exact"/>
              <w:rPr>
                <w:rFonts w:hint="eastAsia" w:ascii="方正仿宋_GBK" w:hAnsi="方正仿宋_GBK" w:eastAsia="方正仿宋_GBK" w:cs="方正仿宋_GBK"/>
                <w:bCs/>
                <w:sz w:val="20"/>
                <w:szCs w:val="20"/>
              </w:rPr>
            </w:pPr>
          </w:p>
        </w:tc>
        <w:tc>
          <w:tcPr>
            <w:tcW w:w="919" w:type="dxa"/>
            <w:vMerge w:val="continue"/>
            <w:tcBorders>
              <w:top w:val="single" w:color="auto" w:sz="4" w:space="0"/>
              <w:left w:val="single" w:color="auto" w:sz="4" w:space="0"/>
              <w:bottom w:val="single" w:color="auto" w:sz="4" w:space="0"/>
              <w:right w:val="single" w:color="auto" w:sz="4" w:space="0"/>
            </w:tcBorders>
            <w:vAlign w:val="center"/>
          </w:tcPr>
          <w:p>
            <w:pPr>
              <w:spacing w:line="226" w:lineRule="exact"/>
              <w:rPr>
                <w:rFonts w:hint="eastAsia" w:ascii="方正仿宋_GBK" w:hAnsi="方正仿宋_GBK" w:eastAsia="方正仿宋_GBK" w:cs="方正仿宋_GBK"/>
                <w:bCs/>
                <w:sz w:val="20"/>
                <w:szCs w:val="20"/>
              </w:rPr>
            </w:pPr>
          </w:p>
        </w:tc>
        <w:tc>
          <w:tcPr>
            <w:tcW w:w="1711" w:type="dxa"/>
            <w:tcBorders>
              <w:top w:val="single" w:color="auto" w:sz="4" w:space="0"/>
              <w:left w:val="single" w:color="auto" w:sz="4" w:space="0"/>
              <w:bottom w:val="single" w:color="auto" w:sz="4" w:space="0"/>
              <w:right w:val="single" w:color="auto" w:sz="4" w:space="0"/>
            </w:tcBorders>
            <w:vAlign w:val="center"/>
          </w:tcPr>
          <w:p>
            <w:pPr>
              <w:spacing w:line="226" w:lineRule="exact"/>
              <w:rPr>
                <w:rFonts w:hint="eastAsia" w:ascii="方正仿宋_GBK" w:hAnsi="方正仿宋_GBK" w:eastAsia="方正仿宋_GBK" w:cs="方正仿宋_GBK"/>
                <w:bCs/>
                <w:kern w:val="2"/>
                <w:sz w:val="20"/>
                <w:szCs w:val="20"/>
              </w:rPr>
            </w:pPr>
            <w:r>
              <w:rPr>
                <w:rFonts w:hint="eastAsia" w:ascii="方正仿宋_GBK" w:hAnsi="方正仿宋_GBK" w:eastAsia="方正仿宋_GBK" w:cs="方正仿宋_GBK"/>
                <w:bCs/>
                <w:sz w:val="20"/>
                <w:szCs w:val="20"/>
              </w:rPr>
              <w:t>结转结余率</w:t>
            </w:r>
          </w:p>
        </w:tc>
        <w:tc>
          <w:tcPr>
            <w:tcW w:w="976" w:type="dxa"/>
            <w:tcBorders>
              <w:top w:val="single" w:color="auto" w:sz="4" w:space="0"/>
              <w:left w:val="single" w:color="auto" w:sz="4" w:space="0"/>
              <w:bottom w:val="single" w:color="auto" w:sz="4" w:space="0"/>
              <w:right w:val="single" w:color="auto" w:sz="4" w:space="0"/>
            </w:tcBorders>
            <w:vAlign w:val="center"/>
          </w:tcPr>
          <w:p>
            <w:pPr>
              <w:spacing w:line="226" w:lineRule="exact"/>
              <w:jc w:val="center"/>
              <w:rPr>
                <w:rFonts w:hint="eastAsia" w:ascii="方正仿宋_GBK" w:hAnsi="方正仿宋_GBK" w:eastAsia="方正仿宋_GBK" w:cs="方正仿宋_GBK"/>
                <w:bCs/>
                <w:kern w:val="2"/>
                <w:sz w:val="20"/>
                <w:szCs w:val="20"/>
              </w:rPr>
            </w:pPr>
            <w:r>
              <w:rPr>
                <w:rFonts w:hint="eastAsia" w:ascii="方正仿宋_GBK" w:hAnsi="方正仿宋_GBK" w:eastAsia="方正仿宋_GBK" w:cs="方正仿宋_GBK"/>
                <w:bCs/>
                <w:sz w:val="20"/>
                <w:szCs w:val="20"/>
              </w:rPr>
              <w:t>＝0%</w:t>
            </w:r>
          </w:p>
        </w:tc>
        <w:tc>
          <w:tcPr>
            <w:tcW w:w="2340" w:type="dxa"/>
            <w:tcBorders>
              <w:top w:val="single" w:color="auto" w:sz="4" w:space="0"/>
              <w:left w:val="single" w:color="auto" w:sz="4" w:space="0"/>
              <w:bottom w:val="single" w:color="auto" w:sz="4" w:space="0"/>
              <w:right w:val="single" w:color="auto" w:sz="4" w:space="0"/>
            </w:tcBorders>
            <w:vAlign w:val="center"/>
          </w:tcPr>
          <w:p>
            <w:pPr>
              <w:spacing w:line="226" w:lineRule="exact"/>
              <w:rPr>
                <w:rFonts w:hint="eastAsia" w:ascii="方正仿宋_GBK" w:hAnsi="方正仿宋_GBK" w:eastAsia="方正仿宋_GBK" w:cs="方正仿宋_GBK"/>
                <w:bCs/>
                <w:kern w:val="2"/>
                <w:sz w:val="20"/>
                <w:szCs w:val="20"/>
              </w:rPr>
            </w:pPr>
            <w:r>
              <w:rPr>
                <w:rFonts w:hint="eastAsia" w:ascii="方正仿宋_GBK" w:hAnsi="方正仿宋_GBK" w:eastAsia="方正仿宋_GBK" w:cs="方正仿宋_GBK"/>
                <w:bCs/>
                <w:sz w:val="20"/>
                <w:szCs w:val="20"/>
              </w:rPr>
              <w:t>未执行完毕的财政拨款是否结转下年（2分）</w:t>
            </w:r>
          </w:p>
        </w:tc>
        <w:tc>
          <w:tcPr>
            <w:tcW w:w="2910" w:type="dxa"/>
            <w:tcBorders>
              <w:top w:val="single" w:color="auto" w:sz="4" w:space="0"/>
              <w:left w:val="single" w:color="auto" w:sz="4" w:space="0"/>
              <w:bottom w:val="single" w:color="auto" w:sz="4" w:space="0"/>
              <w:right w:val="single" w:color="auto" w:sz="4" w:space="0"/>
            </w:tcBorders>
            <w:vAlign w:val="center"/>
          </w:tcPr>
          <w:p>
            <w:pPr>
              <w:spacing w:line="226" w:lineRule="exact"/>
              <w:jc w:val="left"/>
              <w:rPr>
                <w:rFonts w:hint="eastAsia" w:ascii="方正仿宋_GBK" w:hAnsi="方正仿宋_GBK" w:eastAsia="方正仿宋_GBK" w:cs="方正仿宋_GBK"/>
                <w:bCs/>
                <w:kern w:val="2"/>
                <w:sz w:val="20"/>
                <w:szCs w:val="20"/>
              </w:rPr>
            </w:pPr>
            <w:r>
              <w:rPr>
                <w:rFonts w:hint="eastAsia" w:ascii="方正仿宋_GBK" w:hAnsi="方正仿宋_GBK" w:eastAsia="方正仿宋_GBK" w:cs="方正仿宋_GBK"/>
                <w:bCs/>
                <w:sz w:val="20"/>
                <w:szCs w:val="20"/>
              </w:rPr>
              <w:t>未执行完毕的财政拨款均由财政收回，得2分</w:t>
            </w:r>
          </w:p>
        </w:tc>
        <w:tc>
          <w:tcPr>
            <w:tcW w:w="617" w:type="dxa"/>
            <w:tcBorders>
              <w:top w:val="single" w:color="auto" w:sz="4" w:space="0"/>
              <w:left w:val="single" w:color="auto" w:sz="4" w:space="0"/>
              <w:bottom w:val="single" w:color="auto" w:sz="4" w:space="0"/>
              <w:right w:val="single" w:color="auto" w:sz="4" w:space="0"/>
            </w:tcBorders>
            <w:vAlign w:val="center"/>
          </w:tcPr>
          <w:p>
            <w:pPr>
              <w:spacing w:line="226" w:lineRule="exact"/>
              <w:jc w:val="center"/>
              <w:rPr>
                <w:rFonts w:hint="eastAsia" w:ascii="方正仿宋_GBK" w:hAnsi="方正仿宋_GBK" w:eastAsia="方正仿宋_GBK" w:cs="方正仿宋_GBK"/>
                <w:bCs/>
                <w:kern w:val="2"/>
                <w:sz w:val="20"/>
                <w:szCs w:val="20"/>
              </w:rPr>
            </w:pPr>
            <w:r>
              <w:rPr>
                <w:rFonts w:hint="eastAsia" w:ascii="方正仿宋_GBK" w:hAnsi="方正仿宋_GBK" w:eastAsia="方正仿宋_GBK" w:cs="方正仿宋_GBK"/>
                <w:bCs/>
                <w:sz w:val="20"/>
                <w:szCs w:val="20"/>
              </w:rPr>
              <w:t>2</w:t>
            </w:r>
          </w:p>
        </w:tc>
        <w:tc>
          <w:tcPr>
            <w:tcW w:w="441" w:type="dxa"/>
            <w:tcBorders>
              <w:top w:val="single" w:color="auto" w:sz="4" w:space="0"/>
              <w:left w:val="single" w:color="auto" w:sz="4" w:space="0"/>
              <w:bottom w:val="single" w:color="auto" w:sz="4" w:space="0"/>
              <w:right w:val="single" w:color="auto" w:sz="4" w:space="0"/>
            </w:tcBorders>
            <w:vAlign w:val="center"/>
          </w:tcPr>
          <w:p>
            <w:pPr>
              <w:spacing w:line="226" w:lineRule="exact"/>
              <w:jc w:val="center"/>
              <w:rPr>
                <w:rFonts w:hint="eastAsia" w:ascii="方正仿宋_GBK" w:hAnsi="方正仿宋_GBK" w:eastAsia="方正仿宋_GBK" w:cs="方正仿宋_GBK"/>
                <w:bCs/>
                <w:kern w:val="2"/>
                <w:sz w:val="20"/>
                <w:szCs w:val="20"/>
              </w:rPr>
            </w:pPr>
            <w:r>
              <w:rPr>
                <w:rFonts w:hint="eastAsia" w:ascii="方正仿宋_GBK" w:hAnsi="方正仿宋_GBK" w:eastAsia="方正仿宋_GBK" w:cs="方正仿宋_GBK"/>
                <w:bCs/>
                <w:sz w:val="20"/>
                <w:szCs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42" w:type="dxa"/>
          <w:trHeight w:val="549" w:hRule="atLeast"/>
          <w:jc w:val="center"/>
        </w:trPr>
        <w:tc>
          <w:tcPr>
            <w:tcW w:w="861" w:type="dxa"/>
            <w:vMerge w:val="continue"/>
            <w:tcBorders>
              <w:left w:val="single" w:color="auto" w:sz="4" w:space="0"/>
              <w:right w:val="single" w:color="auto" w:sz="4" w:space="0"/>
            </w:tcBorders>
            <w:vAlign w:val="center"/>
          </w:tcPr>
          <w:p>
            <w:pPr>
              <w:spacing w:line="226" w:lineRule="exact"/>
              <w:rPr>
                <w:rFonts w:hint="eastAsia" w:ascii="方正仿宋_GBK" w:hAnsi="方正仿宋_GBK" w:eastAsia="方正仿宋_GBK" w:cs="方正仿宋_GBK"/>
                <w:bCs/>
                <w:sz w:val="20"/>
                <w:szCs w:val="20"/>
              </w:rPr>
            </w:pPr>
          </w:p>
        </w:tc>
        <w:tc>
          <w:tcPr>
            <w:tcW w:w="919" w:type="dxa"/>
            <w:vMerge w:val="continue"/>
            <w:tcBorders>
              <w:top w:val="single" w:color="auto" w:sz="4" w:space="0"/>
              <w:left w:val="single" w:color="auto" w:sz="4" w:space="0"/>
              <w:bottom w:val="single" w:color="auto" w:sz="4" w:space="0"/>
              <w:right w:val="single" w:color="auto" w:sz="4" w:space="0"/>
            </w:tcBorders>
            <w:vAlign w:val="center"/>
          </w:tcPr>
          <w:p>
            <w:pPr>
              <w:spacing w:line="226" w:lineRule="exact"/>
              <w:rPr>
                <w:rFonts w:hint="eastAsia" w:ascii="方正仿宋_GBK" w:hAnsi="方正仿宋_GBK" w:eastAsia="方正仿宋_GBK" w:cs="方正仿宋_GBK"/>
                <w:bCs/>
                <w:sz w:val="20"/>
                <w:szCs w:val="20"/>
              </w:rPr>
            </w:pPr>
          </w:p>
        </w:tc>
        <w:tc>
          <w:tcPr>
            <w:tcW w:w="1711" w:type="dxa"/>
            <w:tcBorders>
              <w:top w:val="single" w:color="auto" w:sz="4" w:space="0"/>
              <w:left w:val="single" w:color="auto" w:sz="4" w:space="0"/>
              <w:bottom w:val="single" w:color="auto" w:sz="4" w:space="0"/>
              <w:right w:val="single" w:color="auto" w:sz="4" w:space="0"/>
            </w:tcBorders>
            <w:vAlign w:val="center"/>
          </w:tcPr>
          <w:p>
            <w:pPr>
              <w:spacing w:line="226" w:lineRule="exact"/>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公用经费控制率</w:t>
            </w:r>
          </w:p>
        </w:tc>
        <w:tc>
          <w:tcPr>
            <w:tcW w:w="976" w:type="dxa"/>
            <w:tcBorders>
              <w:top w:val="single" w:color="auto" w:sz="4" w:space="0"/>
              <w:left w:val="single" w:color="auto" w:sz="4" w:space="0"/>
              <w:bottom w:val="single" w:color="auto" w:sz="4" w:space="0"/>
              <w:right w:val="single" w:color="auto" w:sz="4" w:space="0"/>
            </w:tcBorders>
            <w:vAlign w:val="center"/>
          </w:tcPr>
          <w:p>
            <w:pPr>
              <w:spacing w:line="226" w:lineRule="exact"/>
              <w:jc w:val="center"/>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≤100%</w:t>
            </w:r>
          </w:p>
        </w:tc>
        <w:tc>
          <w:tcPr>
            <w:tcW w:w="2340" w:type="dxa"/>
            <w:tcBorders>
              <w:top w:val="single" w:color="auto" w:sz="4" w:space="0"/>
              <w:left w:val="single" w:color="auto" w:sz="4" w:space="0"/>
              <w:bottom w:val="single" w:color="auto" w:sz="4" w:space="0"/>
              <w:right w:val="single" w:color="auto" w:sz="4" w:space="0"/>
            </w:tcBorders>
            <w:vAlign w:val="center"/>
          </w:tcPr>
          <w:p>
            <w:pPr>
              <w:spacing w:line="226" w:lineRule="exact"/>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单位对公用经费的控制程度（预、决算比率≦100%，2分）</w:t>
            </w:r>
          </w:p>
        </w:tc>
        <w:tc>
          <w:tcPr>
            <w:tcW w:w="2910" w:type="dxa"/>
            <w:tcBorders>
              <w:top w:val="single" w:color="auto" w:sz="4" w:space="0"/>
              <w:left w:val="single" w:color="auto" w:sz="4" w:space="0"/>
              <w:bottom w:val="single" w:color="auto" w:sz="4" w:space="0"/>
              <w:right w:val="single" w:color="auto" w:sz="4" w:space="0"/>
            </w:tcBorders>
            <w:vAlign w:val="center"/>
          </w:tcPr>
          <w:p>
            <w:pPr>
              <w:spacing w:line="226" w:lineRule="exact"/>
              <w:jc w:val="left"/>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公用经费，控制在标准范围内，得2分</w:t>
            </w:r>
          </w:p>
        </w:tc>
        <w:tc>
          <w:tcPr>
            <w:tcW w:w="617" w:type="dxa"/>
            <w:tcBorders>
              <w:top w:val="single" w:color="auto" w:sz="4" w:space="0"/>
              <w:left w:val="single" w:color="auto" w:sz="4" w:space="0"/>
              <w:bottom w:val="single" w:color="auto" w:sz="4" w:space="0"/>
              <w:right w:val="single" w:color="auto" w:sz="4" w:space="0"/>
            </w:tcBorders>
            <w:vAlign w:val="center"/>
          </w:tcPr>
          <w:p>
            <w:pPr>
              <w:spacing w:line="226" w:lineRule="exact"/>
              <w:jc w:val="center"/>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2</w:t>
            </w:r>
          </w:p>
        </w:tc>
        <w:tc>
          <w:tcPr>
            <w:tcW w:w="441" w:type="dxa"/>
            <w:tcBorders>
              <w:top w:val="single" w:color="auto" w:sz="4" w:space="0"/>
              <w:left w:val="single" w:color="auto" w:sz="4" w:space="0"/>
              <w:bottom w:val="single" w:color="auto" w:sz="4" w:space="0"/>
              <w:right w:val="single" w:color="auto" w:sz="4" w:space="0"/>
            </w:tcBorders>
            <w:vAlign w:val="center"/>
          </w:tcPr>
          <w:p>
            <w:pPr>
              <w:spacing w:line="226" w:lineRule="exact"/>
              <w:jc w:val="center"/>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42" w:type="dxa"/>
          <w:trHeight w:val="549" w:hRule="atLeast"/>
          <w:jc w:val="center"/>
        </w:trPr>
        <w:tc>
          <w:tcPr>
            <w:tcW w:w="861" w:type="dxa"/>
            <w:vMerge w:val="continue"/>
            <w:tcBorders>
              <w:left w:val="single" w:color="auto" w:sz="4" w:space="0"/>
              <w:right w:val="single" w:color="auto" w:sz="4" w:space="0"/>
            </w:tcBorders>
            <w:vAlign w:val="center"/>
          </w:tcPr>
          <w:p>
            <w:pPr>
              <w:spacing w:line="226" w:lineRule="exact"/>
              <w:rPr>
                <w:rFonts w:hint="eastAsia" w:ascii="方正仿宋_GBK" w:hAnsi="方正仿宋_GBK" w:eastAsia="方正仿宋_GBK" w:cs="方正仿宋_GBK"/>
                <w:bCs/>
                <w:sz w:val="20"/>
                <w:szCs w:val="20"/>
              </w:rPr>
            </w:pPr>
          </w:p>
        </w:tc>
        <w:tc>
          <w:tcPr>
            <w:tcW w:w="919" w:type="dxa"/>
            <w:vMerge w:val="continue"/>
            <w:tcBorders>
              <w:top w:val="single" w:color="auto" w:sz="4" w:space="0"/>
              <w:left w:val="single" w:color="auto" w:sz="4" w:space="0"/>
              <w:bottom w:val="single" w:color="auto" w:sz="4" w:space="0"/>
              <w:right w:val="single" w:color="auto" w:sz="4" w:space="0"/>
            </w:tcBorders>
            <w:vAlign w:val="center"/>
          </w:tcPr>
          <w:p>
            <w:pPr>
              <w:spacing w:line="226" w:lineRule="exact"/>
              <w:rPr>
                <w:rFonts w:hint="eastAsia" w:ascii="方正仿宋_GBK" w:hAnsi="方正仿宋_GBK" w:eastAsia="方正仿宋_GBK" w:cs="方正仿宋_GBK"/>
                <w:bCs/>
                <w:sz w:val="20"/>
                <w:szCs w:val="20"/>
              </w:rPr>
            </w:pPr>
          </w:p>
        </w:tc>
        <w:tc>
          <w:tcPr>
            <w:tcW w:w="1711" w:type="dxa"/>
            <w:tcBorders>
              <w:top w:val="single" w:color="auto" w:sz="4" w:space="0"/>
              <w:left w:val="single" w:color="auto" w:sz="4" w:space="0"/>
              <w:bottom w:val="single" w:color="auto" w:sz="4" w:space="0"/>
              <w:right w:val="single" w:color="auto" w:sz="4" w:space="0"/>
            </w:tcBorders>
            <w:vAlign w:val="center"/>
          </w:tcPr>
          <w:p>
            <w:pPr>
              <w:spacing w:line="226" w:lineRule="exact"/>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“三公经费”变动率</w:t>
            </w:r>
          </w:p>
        </w:tc>
        <w:tc>
          <w:tcPr>
            <w:tcW w:w="976" w:type="dxa"/>
            <w:tcBorders>
              <w:top w:val="single" w:color="auto" w:sz="4" w:space="0"/>
              <w:left w:val="single" w:color="auto" w:sz="4" w:space="0"/>
              <w:bottom w:val="single" w:color="auto" w:sz="4" w:space="0"/>
              <w:right w:val="single" w:color="auto" w:sz="4" w:space="0"/>
            </w:tcBorders>
            <w:vAlign w:val="center"/>
          </w:tcPr>
          <w:p>
            <w:pPr>
              <w:spacing w:line="226" w:lineRule="exact"/>
              <w:jc w:val="center"/>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≤0%</w:t>
            </w:r>
          </w:p>
        </w:tc>
        <w:tc>
          <w:tcPr>
            <w:tcW w:w="2340" w:type="dxa"/>
            <w:tcBorders>
              <w:top w:val="single" w:color="auto" w:sz="4" w:space="0"/>
              <w:left w:val="single" w:color="auto" w:sz="4" w:space="0"/>
              <w:bottom w:val="single" w:color="auto" w:sz="4" w:space="0"/>
              <w:right w:val="single" w:color="auto" w:sz="4" w:space="0"/>
            </w:tcBorders>
            <w:vAlign w:val="center"/>
          </w:tcPr>
          <w:p>
            <w:pPr>
              <w:spacing w:line="226" w:lineRule="exact"/>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单位“三公经费”变动情况，若不变动则不扣分（2分）</w:t>
            </w:r>
          </w:p>
        </w:tc>
        <w:tc>
          <w:tcPr>
            <w:tcW w:w="2910" w:type="dxa"/>
            <w:tcBorders>
              <w:top w:val="single" w:color="auto" w:sz="4" w:space="0"/>
              <w:left w:val="single" w:color="auto" w:sz="4" w:space="0"/>
              <w:bottom w:val="single" w:color="auto" w:sz="4" w:space="0"/>
              <w:right w:val="single" w:color="auto" w:sz="4" w:space="0"/>
            </w:tcBorders>
            <w:vAlign w:val="center"/>
          </w:tcPr>
          <w:p>
            <w:pPr>
              <w:spacing w:line="226" w:lineRule="exact"/>
              <w:jc w:val="left"/>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“三公经费”未变动，得2分</w:t>
            </w:r>
          </w:p>
        </w:tc>
        <w:tc>
          <w:tcPr>
            <w:tcW w:w="617" w:type="dxa"/>
            <w:tcBorders>
              <w:top w:val="single" w:color="auto" w:sz="4" w:space="0"/>
              <w:left w:val="single" w:color="auto" w:sz="4" w:space="0"/>
              <w:bottom w:val="single" w:color="auto" w:sz="4" w:space="0"/>
              <w:right w:val="single" w:color="auto" w:sz="4" w:space="0"/>
            </w:tcBorders>
            <w:vAlign w:val="center"/>
          </w:tcPr>
          <w:p>
            <w:pPr>
              <w:spacing w:line="226" w:lineRule="exact"/>
              <w:jc w:val="center"/>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2</w:t>
            </w:r>
          </w:p>
        </w:tc>
        <w:tc>
          <w:tcPr>
            <w:tcW w:w="441" w:type="dxa"/>
            <w:tcBorders>
              <w:top w:val="single" w:color="auto" w:sz="4" w:space="0"/>
              <w:left w:val="single" w:color="auto" w:sz="4" w:space="0"/>
              <w:bottom w:val="single" w:color="auto" w:sz="4" w:space="0"/>
              <w:right w:val="single" w:color="auto" w:sz="4" w:space="0"/>
            </w:tcBorders>
            <w:vAlign w:val="center"/>
          </w:tcPr>
          <w:p>
            <w:pPr>
              <w:spacing w:line="226" w:lineRule="exact"/>
              <w:jc w:val="center"/>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42" w:type="dxa"/>
          <w:trHeight w:val="549" w:hRule="atLeast"/>
          <w:jc w:val="center"/>
        </w:trPr>
        <w:tc>
          <w:tcPr>
            <w:tcW w:w="861" w:type="dxa"/>
            <w:vMerge w:val="continue"/>
            <w:tcBorders>
              <w:left w:val="single" w:color="auto" w:sz="4" w:space="0"/>
              <w:right w:val="single" w:color="auto" w:sz="4" w:space="0"/>
            </w:tcBorders>
            <w:vAlign w:val="center"/>
          </w:tcPr>
          <w:p>
            <w:pPr>
              <w:spacing w:line="226" w:lineRule="exact"/>
              <w:rPr>
                <w:rFonts w:hint="eastAsia" w:ascii="方正仿宋_GBK" w:hAnsi="方正仿宋_GBK" w:eastAsia="方正仿宋_GBK" w:cs="方正仿宋_GBK"/>
                <w:bCs/>
                <w:sz w:val="20"/>
                <w:szCs w:val="20"/>
              </w:rPr>
            </w:pPr>
          </w:p>
        </w:tc>
        <w:tc>
          <w:tcPr>
            <w:tcW w:w="919" w:type="dxa"/>
            <w:vMerge w:val="continue"/>
            <w:tcBorders>
              <w:top w:val="single" w:color="auto" w:sz="4" w:space="0"/>
              <w:left w:val="single" w:color="auto" w:sz="4" w:space="0"/>
              <w:bottom w:val="single" w:color="auto" w:sz="4" w:space="0"/>
              <w:right w:val="single" w:color="auto" w:sz="4" w:space="0"/>
            </w:tcBorders>
            <w:vAlign w:val="center"/>
          </w:tcPr>
          <w:p>
            <w:pPr>
              <w:spacing w:line="226" w:lineRule="exact"/>
              <w:rPr>
                <w:rFonts w:hint="eastAsia" w:ascii="方正仿宋_GBK" w:hAnsi="方正仿宋_GBK" w:eastAsia="方正仿宋_GBK" w:cs="方正仿宋_GBK"/>
                <w:bCs/>
                <w:sz w:val="20"/>
                <w:szCs w:val="20"/>
              </w:rPr>
            </w:pPr>
          </w:p>
        </w:tc>
        <w:tc>
          <w:tcPr>
            <w:tcW w:w="1711" w:type="dxa"/>
            <w:tcBorders>
              <w:top w:val="single" w:color="auto" w:sz="4" w:space="0"/>
              <w:left w:val="single" w:color="auto" w:sz="4" w:space="0"/>
              <w:bottom w:val="single" w:color="auto" w:sz="4" w:space="0"/>
              <w:right w:val="single" w:color="auto" w:sz="4" w:space="0"/>
            </w:tcBorders>
            <w:vAlign w:val="center"/>
          </w:tcPr>
          <w:p>
            <w:pPr>
              <w:spacing w:line="226" w:lineRule="exact"/>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政府采购执行率</w:t>
            </w:r>
          </w:p>
        </w:tc>
        <w:tc>
          <w:tcPr>
            <w:tcW w:w="976" w:type="dxa"/>
            <w:tcBorders>
              <w:top w:val="single" w:color="auto" w:sz="4" w:space="0"/>
              <w:left w:val="single" w:color="auto" w:sz="4" w:space="0"/>
              <w:bottom w:val="single" w:color="auto" w:sz="4" w:space="0"/>
              <w:right w:val="single" w:color="auto" w:sz="4" w:space="0"/>
            </w:tcBorders>
            <w:vAlign w:val="center"/>
          </w:tcPr>
          <w:p>
            <w:pPr>
              <w:spacing w:line="226" w:lineRule="exact"/>
              <w:jc w:val="center"/>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＝100%</w:t>
            </w:r>
          </w:p>
        </w:tc>
        <w:tc>
          <w:tcPr>
            <w:tcW w:w="2340" w:type="dxa"/>
            <w:tcBorders>
              <w:top w:val="single" w:color="auto" w:sz="4" w:space="0"/>
              <w:left w:val="single" w:color="auto" w:sz="4" w:space="0"/>
              <w:bottom w:val="single" w:color="auto" w:sz="4" w:space="0"/>
              <w:right w:val="single" w:color="auto" w:sz="4" w:space="0"/>
            </w:tcBorders>
            <w:vAlign w:val="center"/>
          </w:tcPr>
          <w:p>
            <w:pPr>
              <w:spacing w:line="226" w:lineRule="exact"/>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纳入政府采购的资金能否按时执行（2分）</w:t>
            </w:r>
          </w:p>
        </w:tc>
        <w:tc>
          <w:tcPr>
            <w:tcW w:w="2910" w:type="dxa"/>
            <w:tcBorders>
              <w:top w:val="single" w:color="auto" w:sz="4" w:space="0"/>
              <w:left w:val="single" w:color="auto" w:sz="4" w:space="0"/>
              <w:bottom w:val="single" w:color="auto" w:sz="4" w:space="0"/>
              <w:right w:val="single" w:color="auto" w:sz="4" w:space="0"/>
            </w:tcBorders>
            <w:vAlign w:val="center"/>
          </w:tcPr>
          <w:p>
            <w:pPr>
              <w:spacing w:line="226" w:lineRule="exact"/>
              <w:jc w:val="left"/>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政府采购资金按时执行完毕，得2分</w:t>
            </w:r>
          </w:p>
        </w:tc>
        <w:tc>
          <w:tcPr>
            <w:tcW w:w="617" w:type="dxa"/>
            <w:tcBorders>
              <w:top w:val="single" w:color="auto" w:sz="4" w:space="0"/>
              <w:left w:val="single" w:color="auto" w:sz="4" w:space="0"/>
              <w:bottom w:val="single" w:color="auto" w:sz="4" w:space="0"/>
              <w:right w:val="single" w:color="auto" w:sz="4" w:space="0"/>
            </w:tcBorders>
            <w:vAlign w:val="center"/>
          </w:tcPr>
          <w:p>
            <w:pPr>
              <w:spacing w:line="226" w:lineRule="exact"/>
              <w:jc w:val="center"/>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2</w:t>
            </w:r>
          </w:p>
        </w:tc>
        <w:tc>
          <w:tcPr>
            <w:tcW w:w="441" w:type="dxa"/>
            <w:tcBorders>
              <w:top w:val="single" w:color="auto" w:sz="4" w:space="0"/>
              <w:left w:val="single" w:color="auto" w:sz="4" w:space="0"/>
              <w:bottom w:val="single" w:color="auto" w:sz="4" w:space="0"/>
              <w:right w:val="single" w:color="auto" w:sz="4" w:space="0"/>
            </w:tcBorders>
            <w:vAlign w:val="center"/>
          </w:tcPr>
          <w:p>
            <w:pPr>
              <w:spacing w:line="226" w:lineRule="exact"/>
              <w:jc w:val="center"/>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42" w:type="dxa"/>
          <w:trHeight w:val="549" w:hRule="atLeast"/>
          <w:jc w:val="center"/>
        </w:trPr>
        <w:tc>
          <w:tcPr>
            <w:tcW w:w="861" w:type="dxa"/>
            <w:vMerge w:val="continue"/>
            <w:tcBorders>
              <w:left w:val="single" w:color="auto" w:sz="4" w:space="0"/>
              <w:right w:val="single" w:color="auto" w:sz="4" w:space="0"/>
            </w:tcBorders>
            <w:vAlign w:val="center"/>
          </w:tcPr>
          <w:p>
            <w:pPr>
              <w:spacing w:line="226" w:lineRule="exact"/>
              <w:rPr>
                <w:rFonts w:hint="eastAsia" w:ascii="方正仿宋_GBK" w:hAnsi="方正仿宋_GBK" w:eastAsia="方正仿宋_GBK" w:cs="方正仿宋_GBK"/>
                <w:bCs/>
                <w:sz w:val="20"/>
                <w:szCs w:val="20"/>
              </w:rPr>
            </w:pPr>
          </w:p>
        </w:tc>
        <w:tc>
          <w:tcPr>
            <w:tcW w:w="919" w:type="dxa"/>
            <w:vMerge w:val="continue"/>
            <w:tcBorders>
              <w:top w:val="single" w:color="auto" w:sz="4" w:space="0"/>
              <w:left w:val="single" w:color="auto" w:sz="4" w:space="0"/>
              <w:bottom w:val="single" w:color="auto" w:sz="4" w:space="0"/>
              <w:right w:val="single" w:color="auto" w:sz="4" w:space="0"/>
            </w:tcBorders>
            <w:vAlign w:val="center"/>
          </w:tcPr>
          <w:p>
            <w:pPr>
              <w:spacing w:line="226" w:lineRule="exact"/>
              <w:rPr>
                <w:rFonts w:hint="eastAsia" w:ascii="方正仿宋_GBK" w:hAnsi="方正仿宋_GBK" w:eastAsia="方正仿宋_GBK" w:cs="方正仿宋_GBK"/>
                <w:bCs/>
                <w:sz w:val="20"/>
                <w:szCs w:val="20"/>
              </w:rPr>
            </w:pPr>
          </w:p>
        </w:tc>
        <w:tc>
          <w:tcPr>
            <w:tcW w:w="1711" w:type="dxa"/>
            <w:tcBorders>
              <w:top w:val="single" w:color="auto" w:sz="4" w:space="0"/>
              <w:left w:val="single" w:color="auto" w:sz="4" w:space="0"/>
              <w:bottom w:val="single" w:color="auto" w:sz="4" w:space="0"/>
              <w:right w:val="single" w:color="auto" w:sz="4" w:space="0"/>
            </w:tcBorders>
            <w:vAlign w:val="center"/>
          </w:tcPr>
          <w:p>
            <w:pPr>
              <w:spacing w:line="226" w:lineRule="exact"/>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非税收入预算完成率</w:t>
            </w:r>
          </w:p>
        </w:tc>
        <w:tc>
          <w:tcPr>
            <w:tcW w:w="976" w:type="dxa"/>
            <w:tcBorders>
              <w:top w:val="single" w:color="auto" w:sz="4" w:space="0"/>
              <w:left w:val="single" w:color="auto" w:sz="4" w:space="0"/>
              <w:bottom w:val="single" w:color="auto" w:sz="4" w:space="0"/>
              <w:right w:val="single" w:color="auto" w:sz="4" w:space="0"/>
            </w:tcBorders>
            <w:vAlign w:val="center"/>
          </w:tcPr>
          <w:p>
            <w:pPr>
              <w:spacing w:line="226" w:lineRule="exact"/>
              <w:jc w:val="center"/>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≥100%</w:t>
            </w:r>
          </w:p>
        </w:tc>
        <w:tc>
          <w:tcPr>
            <w:tcW w:w="2340" w:type="dxa"/>
            <w:tcBorders>
              <w:top w:val="single" w:color="auto" w:sz="4" w:space="0"/>
              <w:left w:val="single" w:color="auto" w:sz="4" w:space="0"/>
              <w:bottom w:val="single" w:color="auto" w:sz="4" w:space="0"/>
              <w:right w:val="single" w:color="auto" w:sz="4" w:space="0"/>
            </w:tcBorders>
            <w:vAlign w:val="center"/>
          </w:tcPr>
          <w:p>
            <w:pPr>
              <w:spacing w:line="226" w:lineRule="exact"/>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非税收入能否完成预算目标（2分）</w:t>
            </w:r>
          </w:p>
        </w:tc>
        <w:tc>
          <w:tcPr>
            <w:tcW w:w="2910" w:type="dxa"/>
            <w:tcBorders>
              <w:top w:val="single" w:color="auto" w:sz="4" w:space="0"/>
              <w:left w:val="single" w:color="auto" w:sz="4" w:space="0"/>
              <w:bottom w:val="single" w:color="auto" w:sz="4" w:space="0"/>
              <w:right w:val="single" w:color="auto" w:sz="4" w:space="0"/>
            </w:tcBorders>
            <w:vAlign w:val="center"/>
          </w:tcPr>
          <w:p>
            <w:pPr>
              <w:spacing w:line="226" w:lineRule="exact"/>
              <w:jc w:val="left"/>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非税收入完成预算目标，得2分</w:t>
            </w:r>
          </w:p>
        </w:tc>
        <w:tc>
          <w:tcPr>
            <w:tcW w:w="617" w:type="dxa"/>
            <w:tcBorders>
              <w:top w:val="single" w:color="auto" w:sz="4" w:space="0"/>
              <w:left w:val="single" w:color="auto" w:sz="4" w:space="0"/>
              <w:bottom w:val="single" w:color="auto" w:sz="4" w:space="0"/>
              <w:right w:val="single" w:color="auto" w:sz="4" w:space="0"/>
            </w:tcBorders>
            <w:vAlign w:val="center"/>
          </w:tcPr>
          <w:p>
            <w:pPr>
              <w:spacing w:line="226" w:lineRule="exact"/>
              <w:jc w:val="center"/>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2</w:t>
            </w:r>
          </w:p>
        </w:tc>
        <w:tc>
          <w:tcPr>
            <w:tcW w:w="441" w:type="dxa"/>
            <w:tcBorders>
              <w:top w:val="single" w:color="auto" w:sz="4" w:space="0"/>
              <w:left w:val="single" w:color="auto" w:sz="4" w:space="0"/>
              <w:bottom w:val="single" w:color="auto" w:sz="4" w:space="0"/>
              <w:right w:val="single" w:color="auto" w:sz="4" w:space="0"/>
            </w:tcBorders>
            <w:vAlign w:val="center"/>
          </w:tcPr>
          <w:p>
            <w:pPr>
              <w:spacing w:line="226" w:lineRule="exact"/>
              <w:jc w:val="center"/>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42" w:type="dxa"/>
          <w:trHeight w:val="90" w:hRule="atLeast"/>
          <w:jc w:val="center"/>
        </w:trPr>
        <w:tc>
          <w:tcPr>
            <w:tcW w:w="861" w:type="dxa"/>
            <w:vMerge w:val="continue"/>
            <w:tcBorders>
              <w:left w:val="single" w:color="auto" w:sz="4" w:space="0"/>
              <w:right w:val="single" w:color="auto" w:sz="4" w:space="0"/>
            </w:tcBorders>
            <w:vAlign w:val="center"/>
          </w:tcPr>
          <w:p>
            <w:pPr>
              <w:spacing w:line="226" w:lineRule="exact"/>
              <w:rPr>
                <w:rFonts w:hint="eastAsia" w:ascii="方正仿宋_GBK" w:hAnsi="方正仿宋_GBK" w:eastAsia="方正仿宋_GBK" w:cs="方正仿宋_GBK"/>
                <w:bCs/>
                <w:sz w:val="20"/>
                <w:szCs w:val="20"/>
              </w:rPr>
            </w:pPr>
          </w:p>
        </w:tc>
        <w:tc>
          <w:tcPr>
            <w:tcW w:w="919" w:type="dxa"/>
            <w:vMerge w:val="restart"/>
            <w:tcBorders>
              <w:top w:val="single" w:color="auto" w:sz="4" w:space="0"/>
              <w:left w:val="single" w:color="auto" w:sz="4" w:space="0"/>
              <w:right w:val="single" w:color="auto" w:sz="4" w:space="0"/>
            </w:tcBorders>
            <w:vAlign w:val="center"/>
          </w:tcPr>
          <w:p>
            <w:pPr>
              <w:spacing w:line="226" w:lineRule="exact"/>
              <w:jc w:val="center"/>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预算管理</w:t>
            </w:r>
          </w:p>
        </w:tc>
        <w:tc>
          <w:tcPr>
            <w:tcW w:w="1711" w:type="dxa"/>
            <w:tcBorders>
              <w:top w:val="single" w:color="auto" w:sz="4" w:space="0"/>
              <w:left w:val="single" w:color="auto" w:sz="4" w:space="0"/>
              <w:bottom w:val="single" w:color="auto" w:sz="4" w:space="0"/>
              <w:right w:val="single" w:color="auto" w:sz="4" w:space="0"/>
            </w:tcBorders>
            <w:vAlign w:val="center"/>
          </w:tcPr>
          <w:p>
            <w:pPr>
              <w:spacing w:line="226" w:lineRule="exact"/>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预算管理制度健全性</w:t>
            </w:r>
          </w:p>
        </w:tc>
        <w:tc>
          <w:tcPr>
            <w:tcW w:w="976" w:type="dxa"/>
            <w:tcBorders>
              <w:top w:val="single" w:color="auto" w:sz="4" w:space="0"/>
              <w:left w:val="single" w:color="auto" w:sz="4" w:space="0"/>
              <w:bottom w:val="single" w:color="auto" w:sz="4" w:space="0"/>
              <w:right w:val="single" w:color="auto" w:sz="4" w:space="0"/>
            </w:tcBorders>
            <w:vAlign w:val="center"/>
          </w:tcPr>
          <w:p>
            <w:pPr>
              <w:spacing w:line="226" w:lineRule="exact"/>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健全</w:t>
            </w:r>
          </w:p>
        </w:tc>
        <w:tc>
          <w:tcPr>
            <w:tcW w:w="2340" w:type="dxa"/>
            <w:tcBorders>
              <w:top w:val="single" w:color="auto" w:sz="4" w:space="0"/>
              <w:left w:val="single" w:color="auto" w:sz="4" w:space="0"/>
              <w:bottom w:val="single" w:color="auto" w:sz="4" w:space="0"/>
              <w:right w:val="single" w:color="auto" w:sz="4" w:space="0"/>
            </w:tcBorders>
            <w:vAlign w:val="center"/>
          </w:tcPr>
          <w:p>
            <w:pPr>
              <w:spacing w:line="226" w:lineRule="exact"/>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单位是否建立有健全完备的预算管理制度（3分）</w:t>
            </w:r>
          </w:p>
        </w:tc>
        <w:tc>
          <w:tcPr>
            <w:tcW w:w="2910" w:type="dxa"/>
            <w:tcBorders>
              <w:top w:val="single" w:color="auto" w:sz="4" w:space="0"/>
              <w:left w:val="single" w:color="auto" w:sz="4" w:space="0"/>
              <w:bottom w:val="single" w:color="auto" w:sz="4" w:space="0"/>
              <w:right w:val="single" w:color="auto" w:sz="4" w:space="0"/>
            </w:tcBorders>
            <w:vAlign w:val="center"/>
          </w:tcPr>
          <w:p>
            <w:pPr>
              <w:spacing w:line="226" w:lineRule="exact"/>
              <w:jc w:val="left"/>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建立完善健全的预算管理制度，得3分</w:t>
            </w:r>
          </w:p>
        </w:tc>
        <w:tc>
          <w:tcPr>
            <w:tcW w:w="617" w:type="dxa"/>
            <w:tcBorders>
              <w:top w:val="single" w:color="auto" w:sz="4" w:space="0"/>
              <w:left w:val="single" w:color="auto" w:sz="4" w:space="0"/>
              <w:bottom w:val="single" w:color="auto" w:sz="4" w:space="0"/>
              <w:right w:val="single" w:color="auto" w:sz="4" w:space="0"/>
            </w:tcBorders>
            <w:vAlign w:val="center"/>
          </w:tcPr>
          <w:p>
            <w:pPr>
              <w:spacing w:line="226" w:lineRule="exact"/>
              <w:jc w:val="center"/>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3</w:t>
            </w:r>
          </w:p>
        </w:tc>
        <w:tc>
          <w:tcPr>
            <w:tcW w:w="441" w:type="dxa"/>
            <w:tcBorders>
              <w:top w:val="single" w:color="auto" w:sz="4" w:space="0"/>
              <w:left w:val="single" w:color="auto" w:sz="4" w:space="0"/>
              <w:bottom w:val="single" w:color="auto" w:sz="4" w:space="0"/>
              <w:right w:val="single" w:color="auto" w:sz="4" w:space="0"/>
            </w:tcBorders>
            <w:vAlign w:val="center"/>
          </w:tcPr>
          <w:p>
            <w:pPr>
              <w:spacing w:line="226" w:lineRule="exact"/>
              <w:jc w:val="center"/>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42" w:type="dxa"/>
          <w:trHeight w:val="424" w:hRule="atLeast"/>
          <w:jc w:val="center"/>
        </w:trPr>
        <w:tc>
          <w:tcPr>
            <w:tcW w:w="861" w:type="dxa"/>
            <w:vMerge w:val="continue"/>
            <w:tcBorders>
              <w:left w:val="single" w:color="auto" w:sz="4" w:space="0"/>
              <w:right w:val="single" w:color="auto" w:sz="4" w:space="0"/>
            </w:tcBorders>
            <w:vAlign w:val="center"/>
          </w:tcPr>
          <w:p>
            <w:pPr>
              <w:spacing w:line="226" w:lineRule="exact"/>
              <w:rPr>
                <w:rFonts w:hint="eastAsia" w:ascii="方正仿宋_GBK" w:hAnsi="方正仿宋_GBK" w:eastAsia="方正仿宋_GBK" w:cs="方正仿宋_GBK"/>
                <w:bCs/>
                <w:sz w:val="20"/>
                <w:szCs w:val="20"/>
              </w:rPr>
            </w:pPr>
          </w:p>
        </w:tc>
        <w:tc>
          <w:tcPr>
            <w:tcW w:w="919" w:type="dxa"/>
            <w:vMerge w:val="continue"/>
            <w:tcBorders>
              <w:left w:val="single" w:color="auto" w:sz="4" w:space="0"/>
              <w:right w:val="single" w:color="auto" w:sz="4" w:space="0"/>
            </w:tcBorders>
            <w:vAlign w:val="center"/>
          </w:tcPr>
          <w:p>
            <w:pPr>
              <w:spacing w:line="226" w:lineRule="exact"/>
              <w:rPr>
                <w:rFonts w:hint="eastAsia" w:ascii="方正仿宋_GBK" w:hAnsi="方正仿宋_GBK" w:eastAsia="方正仿宋_GBK" w:cs="方正仿宋_GBK"/>
                <w:bCs/>
                <w:sz w:val="20"/>
                <w:szCs w:val="20"/>
              </w:rPr>
            </w:pPr>
          </w:p>
        </w:tc>
        <w:tc>
          <w:tcPr>
            <w:tcW w:w="1711" w:type="dxa"/>
            <w:tcBorders>
              <w:top w:val="single" w:color="auto" w:sz="4" w:space="0"/>
              <w:left w:val="single" w:color="auto" w:sz="4" w:space="0"/>
              <w:bottom w:val="single" w:color="auto" w:sz="4" w:space="0"/>
              <w:right w:val="single" w:color="auto" w:sz="4" w:space="0"/>
            </w:tcBorders>
            <w:vAlign w:val="center"/>
          </w:tcPr>
          <w:p>
            <w:pPr>
              <w:spacing w:line="226" w:lineRule="exact"/>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资金使用合规性</w:t>
            </w:r>
          </w:p>
        </w:tc>
        <w:tc>
          <w:tcPr>
            <w:tcW w:w="976" w:type="dxa"/>
            <w:tcBorders>
              <w:top w:val="single" w:color="auto" w:sz="4" w:space="0"/>
              <w:left w:val="single" w:color="auto" w:sz="4" w:space="0"/>
              <w:bottom w:val="single" w:color="auto" w:sz="4" w:space="0"/>
              <w:right w:val="single" w:color="auto" w:sz="4" w:space="0"/>
            </w:tcBorders>
            <w:vAlign w:val="center"/>
          </w:tcPr>
          <w:p>
            <w:pPr>
              <w:spacing w:line="226" w:lineRule="exact"/>
              <w:jc w:val="center"/>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合规</w:t>
            </w:r>
          </w:p>
        </w:tc>
        <w:tc>
          <w:tcPr>
            <w:tcW w:w="2340" w:type="dxa"/>
            <w:tcBorders>
              <w:top w:val="single" w:color="auto" w:sz="4" w:space="0"/>
              <w:left w:val="single" w:color="auto" w:sz="4" w:space="0"/>
              <w:bottom w:val="single" w:color="auto" w:sz="4" w:space="0"/>
              <w:right w:val="single" w:color="auto" w:sz="4" w:space="0"/>
            </w:tcBorders>
            <w:vAlign w:val="center"/>
          </w:tcPr>
          <w:p>
            <w:pPr>
              <w:spacing w:line="226" w:lineRule="exact"/>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是否严格按照制度执行资金管理各项工作。（3分）</w:t>
            </w:r>
          </w:p>
        </w:tc>
        <w:tc>
          <w:tcPr>
            <w:tcW w:w="2910" w:type="dxa"/>
            <w:tcBorders>
              <w:top w:val="single" w:color="auto" w:sz="4" w:space="0"/>
              <w:left w:val="single" w:color="auto" w:sz="4" w:space="0"/>
              <w:bottom w:val="single" w:color="auto" w:sz="4" w:space="0"/>
              <w:right w:val="single" w:color="auto" w:sz="4" w:space="0"/>
            </w:tcBorders>
            <w:vAlign w:val="center"/>
          </w:tcPr>
          <w:p>
            <w:pPr>
              <w:spacing w:line="226" w:lineRule="exact"/>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严格按照制度执行资金管理，资金使用合规，得3分</w:t>
            </w:r>
          </w:p>
        </w:tc>
        <w:tc>
          <w:tcPr>
            <w:tcW w:w="617" w:type="dxa"/>
            <w:tcBorders>
              <w:top w:val="single" w:color="auto" w:sz="4" w:space="0"/>
              <w:left w:val="single" w:color="auto" w:sz="4" w:space="0"/>
              <w:bottom w:val="single" w:color="auto" w:sz="4" w:space="0"/>
              <w:right w:val="single" w:color="auto" w:sz="4" w:space="0"/>
            </w:tcBorders>
            <w:vAlign w:val="center"/>
          </w:tcPr>
          <w:p>
            <w:pPr>
              <w:spacing w:line="226" w:lineRule="exact"/>
              <w:jc w:val="center"/>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3</w:t>
            </w:r>
          </w:p>
        </w:tc>
        <w:tc>
          <w:tcPr>
            <w:tcW w:w="441" w:type="dxa"/>
            <w:tcBorders>
              <w:top w:val="single" w:color="auto" w:sz="4" w:space="0"/>
              <w:left w:val="single" w:color="auto" w:sz="4" w:space="0"/>
              <w:bottom w:val="single" w:color="auto" w:sz="4" w:space="0"/>
              <w:right w:val="single" w:color="auto" w:sz="4" w:space="0"/>
            </w:tcBorders>
            <w:vAlign w:val="center"/>
          </w:tcPr>
          <w:p>
            <w:pPr>
              <w:spacing w:line="226" w:lineRule="exact"/>
              <w:jc w:val="center"/>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42" w:type="dxa"/>
          <w:trHeight w:val="424" w:hRule="atLeast"/>
          <w:jc w:val="center"/>
        </w:trPr>
        <w:tc>
          <w:tcPr>
            <w:tcW w:w="861" w:type="dxa"/>
            <w:vMerge w:val="continue"/>
            <w:tcBorders>
              <w:left w:val="single" w:color="auto" w:sz="4" w:space="0"/>
              <w:right w:val="single" w:color="auto" w:sz="4" w:space="0"/>
            </w:tcBorders>
            <w:vAlign w:val="center"/>
          </w:tcPr>
          <w:p>
            <w:pPr>
              <w:spacing w:line="226" w:lineRule="exact"/>
              <w:rPr>
                <w:rFonts w:hint="eastAsia" w:ascii="方正仿宋_GBK" w:hAnsi="方正仿宋_GBK" w:eastAsia="方正仿宋_GBK" w:cs="方正仿宋_GBK"/>
                <w:bCs/>
                <w:sz w:val="20"/>
                <w:szCs w:val="20"/>
              </w:rPr>
            </w:pPr>
          </w:p>
        </w:tc>
        <w:tc>
          <w:tcPr>
            <w:tcW w:w="919" w:type="dxa"/>
            <w:vMerge w:val="continue"/>
            <w:tcBorders>
              <w:left w:val="single" w:color="auto" w:sz="4" w:space="0"/>
              <w:right w:val="single" w:color="auto" w:sz="4" w:space="0"/>
            </w:tcBorders>
            <w:vAlign w:val="center"/>
          </w:tcPr>
          <w:p>
            <w:pPr>
              <w:spacing w:line="226" w:lineRule="exact"/>
              <w:rPr>
                <w:rFonts w:hint="eastAsia" w:ascii="方正仿宋_GBK" w:hAnsi="方正仿宋_GBK" w:eastAsia="方正仿宋_GBK" w:cs="方正仿宋_GBK"/>
                <w:bCs/>
                <w:sz w:val="20"/>
                <w:szCs w:val="20"/>
              </w:rPr>
            </w:pPr>
          </w:p>
        </w:tc>
        <w:tc>
          <w:tcPr>
            <w:tcW w:w="1711" w:type="dxa"/>
            <w:tcBorders>
              <w:top w:val="single" w:color="auto" w:sz="4" w:space="0"/>
              <w:left w:val="single" w:color="auto" w:sz="4" w:space="0"/>
              <w:bottom w:val="single" w:color="auto" w:sz="4" w:space="0"/>
              <w:right w:val="single" w:color="auto" w:sz="4" w:space="0"/>
            </w:tcBorders>
            <w:vAlign w:val="center"/>
          </w:tcPr>
          <w:p>
            <w:pPr>
              <w:spacing w:line="226" w:lineRule="exact"/>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绩效管理覆盖率</w:t>
            </w:r>
          </w:p>
        </w:tc>
        <w:tc>
          <w:tcPr>
            <w:tcW w:w="976" w:type="dxa"/>
            <w:tcBorders>
              <w:top w:val="single" w:color="auto" w:sz="4" w:space="0"/>
              <w:left w:val="single" w:color="auto" w:sz="4" w:space="0"/>
              <w:bottom w:val="single" w:color="auto" w:sz="4" w:space="0"/>
              <w:right w:val="single" w:color="auto" w:sz="4" w:space="0"/>
            </w:tcBorders>
            <w:vAlign w:val="center"/>
          </w:tcPr>
          <w:p>
            <w:pPr>
              <w:spacing w:line="226" w:lineRule="exact"/>
              <w:jc w:val="center"/>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＝100%</w:t>
            </w:r>
          </w:p>
        </w:tc>
        <w:tc>
          <w:tcPr>
            <w:tcW w:w="2340" w:type="dxa"/>
            <w:tcBorders>
              <w:top w:val="single" w:color="auto" w:sz="4" w:space="0"/>
              <w:left w:val="single" w:color="auto" w:sz="4" w:space="0"/>
              <w:bottom w:val="single" w:color="auto" w:sz="4" w:space="0"/>
              <w:right w:val="single" w:color="auto" w:sz="4" w:space="0"/>
            </w:tcBorders>
            <w:vAlign w:val="center"/>
          </w:tcPr>
          <w:p>
            <w:pPr>
              <w:spacing w:line="226" w:lineRule="exact"/>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单位预算绩效管理是否全覆盖（2分）</w:t>
            </w:r>
          </w:p>
        </w:tc>
        <w:tc>
          <w:tcPr>
            <w:tcW w:w="2910" w:type="dxa"/>
            <w:tcBorders>
              <w:top w:val="single" w:color="auto" w:sz="4" w:space="0"/>
              <w:left w:val="single" w:color="auto" w:sz="4" w:space="0"/>
              <w:bottom w:val="single" w:color="auto" w:sz="4" w:space="0"/>
              <w:right w:val="single" w:color="auto" w:sz="4" w:space="0"/>
            </w:tcBorders>
            <w:vAlign w:val="center"/>
          </w:tcPr>
          <w:p>
            <w:pPr>
              <w:spacing w:line="226" w:lineRule="exact"/>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本单位预算绩效管理已全覆盖，得2分</w:t>
            </w:r>
          </w:p>
        </w:tc>
        <w:tc>
          <w:tcPr>
            <w:tcW w:w="617" w:type="dxa"/>
            <w:tcBorders>
              <w:top w:val="single" w:color="auto" w:sz="4" w:space="0"/>
              <w:left w:val="single" w:color="auto" w:sz="4" w:space="0"/>
              <w:bottom w:val="single" w:color="auto" w:sz="4" w:space="0"/>
              <w:right w:val="single" w:color="auto" w:sz="4" w:space="0"/>
            </w:tcBorders>
            <w:vAlign w:val="center"/>
          </w:tcPr>
          <w:p>
            <w:pPr>
              <w:spacing w:line="226" w:lineRule="exact"/>
              <w:jc w:val="center"/>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2</w:t>
            </w:r>
          </w:p>
        </w:tc>
        <w:tc>
          <w:tcPr>
            <w:tcW w:w="441" w:type="dxa"/>
            <w:tcBorders>
              <w:top w:val="single" w:color="auto" w:sz="4" w:space="0"/>
              <w:left w:val="single" w:color="auto" w:sz="4" w:space="0"/>
              <w:bottom w:val="single" w:color="auto" w:sz="4" w:space="0"/>
              <w:right w:val="single" w:color="auto" w:sz="4" w:space="0"/>
            </w:tcBorders>
            <w:vAlign w:val="center"/>
          </w:tcPr>
          <w:p>
            <w:pPr>
              <w:spacing w:line="226" w:lineRule="exact"/>
              <w:jc w:val="center"/>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42" w:type="dxa"/>
          <w:trHeight w:val="424" w:hRule="atLeast"/>
          <w:jc w:val="center"/>
        </w:trPr>
        <w:tc>
          <w:tcPr>
            <w:tcW w:w="861" w:type="dxa"/>
            <w:vMerge w:val="continue"/>
            <w:tcBorders>
              <w:left w:val="single" w:color="auto" w:sz="4" w:space="0"/>
              <w:right w:val="single" w:color="auto" w:sz="4" w:space="0"/>
            </w:tcBorders>
            <w:vAlign w:val="center"/>
          </w:tcPr>
          <w:p>
            <w:pPr>
              <w:spacing w:line="226" w:lineRule="exact"/>
              <w:rPr>
                <w:rFonts w:hint="eastAsia" w:ascii="方正仿宋_GBK" w:hAnsi="方正仿宋_GBK" w:eastAsia="方正仿宋_GBK" w:cs="方正仿宋_GBK"/>
                <w:bCs/>
                <w:sz w:val="20"/>
                <w:szCs w:val="20"/>
              </w:rPr>
            </w:pPr>
          </w:p>
        </w:tc>
        <w:tc>
          <w:tcPr>
            <w:tcW w:w="919" w:type="dxa"/>
            <w:vMerge w:val="continue"/>
            <w:tcBorders>
              <w:left w:val="single" w:color="auto" w:sz="4" w:space="0"/>
              <w:right w:val="single" w:color="auto" w:sz="4" w:space="0"/>
            </w:tcBorders>
            <w:vAlign w:val="center"/>
          </w:tcPr>
          <w:p>
            <w:pPr>
              <w:spacing w:line="226" w:lineRule="exact"/>
              <w:rPr>
                <w:rFonts w:hint="eastAsia" w:ascii="方正仿宋_GBK" w:hAnsi="方正仿宋_GBK" w:eastAsia="方正仿宋_GBK" w:cs="方正仿宋_GBK"/>
                <w:bCs/>
                <w:sz w:val="20"/>
                <w:szCs w:val="20"/>
              </w:rPr>
            </w:pPr>
          </w:p>
        </w:tc>
        <w:tc>
          <w:tcPr>
            <w:tcW w:w="1711" w:type="dxa"/>
            <w:tcBorders>
              <w:top w:val="single" w:color="auto" w:sz="4" w:space="0"/>
              <w:left w:val="single" w:color="auto" w:sz="4" w:space="0"/>
              <w:bottom w:val="single" w:color="auto" w:sz="4" w:space="0"/>
              <w:right w:val="single" w:color="auto" w:sz="4" w:space="0"/>
            </w:tcBorders>
            <w:vAlign w:val="center"/>
          </w:tcPr>
          <w:p>
            <w:pPr>
              <w:spacing w:line="226" w:lineRule="exact"/>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基础信息完善性</w:t>
            </w:r>
          </w:p>
        </w:tc>
        <w:tc>
          <w:tcPr>
            <w:tcW w:w="976" w:type="dxa"/>
            <w:tcBorders>
              <w:top w:val="single" w:color="auto" w:sz="4" w:space="0"/>
              <w:left w:val="single" w:color="auto" w:sz="4" w:space="0"/>
              <w:bottom w:val="single" w:color="auto" w:sz="4" w:space="0"/>
              <w:right w:val="single" w:color="auto" w:sz="4" w:space="0"/>
            </w:tcBorders>
            <w:vAlign w:val="center"/>
          </w:tcPr>
          <w:p>
            <w:pPr>
              <w:spacing w:line="226" w:lineRule="exact"/>
              <w:jc w:val="center"/>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完善</w:t>
            </w:r>
          </w:p>
        </w:tc>
        <w:tc>
          <w:tcPr>
            <w:tcW w:w="2340" w:type="dxa"/>
            <w:tcBorders>
              <w:top w:val="single" w:color="auto" w:sz="4" w:space="0"/>
              <w:left w:val="single" w:color="auto" w:sz="4" w:space="0"/>
              <w:bottom w:val="single" w:color="auto" w:sz="4" w:space="0"/>
              <w:right w:val="single" w:color="auto" w:sz="4" w:space="0"/>
            </w:tcBorders>
            <w:vAlign w:val="center"/>
          </w:tcPr>
          <w:p>
            <w:pPr>
              <w:spacing w:line="226" w:lineRule="exact"/>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预算管理基础信息是否完善（2分）</w:t>
            </w:r>
          </w:p>
        </w:tc>
        <w:tc>
          <w:tcPr>
            <w:tcW w:w="2910" w:type="dxa"/>
            <w:tcBorders>
              <w:top w:val="single" w:color="auto" w:sz="4" w:space="0"/>
              <w:left w:val="single" w:color="auto" w:sz="4" w:space="0"/>
              <w:bottom w:val="single" w:color="auto" w:sz="4" w:space="0"/>
              <w:right w:val="single" w:color="auto" w:sz="4" w:space="0"/>
            </w:tcBorders>
            <w:vAlign w:val="center"/>
          </w:tcPr>
          <w:p>
            <w:pPr>
              <w:spacing w:line="226" w:lineRule="exact"/>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本单位预算管理基础信息完善，得2分</w:t>
            </w:r>
          </w:p>
        </w:tc>
        <w:tc>
          <w:tcPr>
            <w:tcW w:w="617" w:type="dxa"/>
            <w:tcBorders>
              <w:top w:val="single" w:color="auto" w:sz="4" w:space="0"/>
              <w:left w:val="single" w:color="auto" w:sz="4" w:space="0"/>
              <w:bottom w:val="single" w:color="auto" w:sz="4" w:space="0"/>
              <w:right w:val="single" w:color="auto" w:sz="4" w:space="0"/>
            </w:tcBorders>
            <w:vAlign w:val="center"/>
          </w:tcPr>
          <w:p>
            <w:pPr>
              <w:spacing w:line="226" w:lineRule="exact"/>
              <w:jc w:val="center"/>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2</w:t>
            </w:r>
          </w:p>
        </w:tc>
        <w:tc>
          <w:tcPr>
            <w:tcW w:w="441" w:type="dxa"/>
            <w:tcBorders>
              <w:top w:val="single" w:color="auto" w:sz="4" w:space="0"/>
              <w:left w:val="single" w:color="auto" w:sz="4" w:space="0"/>
              <w:bottom w:val="single" w:color="auto" w:sz="4" w:space="0"/>
              <w:right w:val="single" w:color="auto" w:sz="4" w:space="0"/>
            </w:tcBorders>
            <w:vAlign w:val="center"/>
          </w:tcPr>
          <w:p>
            <w:pPr>
              <w:spacing w:line="226" w:lineRule="exact"/>
              <w:jc w:val="center"/>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42" w:type="dxa"/>
          <w:trHeight w:val="424" w:hRule="atLeast"/>
          <w:jc w:val="center"/>
        </w:trPr>
        <w:tc>
          <w:tcPr>
            <w:tcW w:w="861" w:type="dxa"/>
            <w:vMerge w:val="continue"/>
            <w:tcBorders>
              <w:left w:val="single" w:color="auto" w:sz="4" w:space="0"/>
              <w:right w:val="single" w:color="auto" w:sz="4" w:space="0"/>
            </w:tcBorders>
            <w:vAlign w:val="center"/>
          </w:tcPr>
          <w:p>
            <w:pPr>
              <w:spacing w:line="226" w:lineRule="exact"/>
              <w:rPr>
                <w:rFonts w:hint="eastAsia" w:ascii="方正仿宋_GBK" w:hAnsi="方正仿宋_GBK" w:eastAsia="方正仿宋_GBK" w:cs="方正仿宋_GBK"/>
                <w:bCs/>
                <w:sz w:val="20"/>
                <w:szCs w:val="20"/>
              </w:rPr>
            </w:pPr>
          </w:p>
        </w:tc>
        <w:tc>
          <w:tcPr>
            <w:tcW w:w="919" w:type="dxa"/>
            <w:vMerge w:val="continue"/>
            <w:tcBorders>
              <w:left w:val="single" w:color="auto" w:sz="4" w:space="0"/>
              <w:right w:val="single" w:color="auto" w:sz="4" w:space="0"/>
            </w:tcBorders>
            <w:vAlign w:val="center"/>
          </w:tcPr>
          <w:p>
            <w:pPr>
              <w:spacing w:line="226" w:lineRule="exact"/>
              <w:rPr>
                <w:rFonts w:hint="eastAsia" w:ascii="方正仿宋_GBK" w:hAnsi="方正仿宋_GBK" w:eastAsia="方正仿宋_GBK" w:cs="方正仿宋_GBK"/>
                <w:bCs/>
                <w:sz w:val="20"/>
                <w:szCs w:val="20"/>
              </w:rPr>
            </w:pPr>
          </w:p>
        </w:tc>
        <w:tc>
          <w:tcPr>
            <w:tcW w:w="1711" w:type="dxa"/>
            <w:tcBorders>
              <w:top w:val="single" w:color="auto" w:sz="4" w:space="0"/>
              <w:left w:val="single" w:color="auto" w:sz="4" w:space="0"/>
              <w:bottom w:val="single" w:color="auto" w:sz="4" w:space="0"/>
              <w:right w:val="single" w:color="auto" w:sz="4" w:space="0"/>
            </w:tcBorders>
            <w:vAlign w:val="center"/>
          </w:tcPr>
          <w:p>
            <w:pPr>
              <w:spacing w:line="226" w:lineRule="exact"/>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预决算信息公开度</w:t>
            </w:r>
          </w:p>
        </w:tc>
        <w:tc>
          <w:tcPr>
            <w:tcW w:w="976" w:type="dxa"/>
            <w:tcBorders>
              <w:top w:val="single" w:color="auto" w:sz="4" w:space="0"/>
              <w:left w:val="single" w:color="auto" w:sz="4" w:space="0"/>
              <w:bottom w:val="single" w:color="auto" w:sz="4" w:space="0"/>
              <w:right w:val="single" w:color="auto" w:sz="4" w:space="0"/>
            </w:tcBorders>
            <w:vAlign w:val="center"/>
          </w:tcPr>
          <w:p>
            <w:pPr>
              <w:spacing w:line="226" w:lineRule="exact"/>
              <w:jc w:val="center"/>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公开</w:t>
            </w:r>
          </w:p>
        </w:tc>
        <w:tc>
          <w:tcPr>
            <w:tcW w:w="2340" w:type="dxa"/>
            <w:tcBorders>
              <w:top w:val="single" w:color="auto" w:sz="4" w:space="0"/>
              <w:left w:val="single" w:color="auto" w:sz="4" w:space="0"/>
              <w:bottom w:val="single" w:color="auto" w:sz="4" w:space="0"/>
              <w:right w:val="single" w:color="auto" w:sz="4" w:space="0"/>
            </w:tcBorders>
            <w:vAlign w:val="center"/>
          </w:tcPr>
          <w:p>
            <w:pPr>
              <w:spacing w:line="226" w:lineRule="exact"/>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预决算是否在“双平台”进行公开（1分），内容和时限是否符合要求（2分）</w:t>
            </w:r>
          </w:p>
        </w:tc>
        <w:tc>
          <w:tcPr>
            <w:tcW w:w="2910" w:type="dxa"/>
            <w:tcBorders>
              <w:top w:val="single" w:color="auto" w:sz="4" w:space="0"/>
              <w:left w:val="single" w:color="auto" w:sz="4" w:space="0"/>
              <w:bottom w:val="single" w:color="auto" w:sz="4" w:space="0"/>
              <w:right w:val="single" w:color="auto" w:sz="4" w:space="0"/>
            </w:tcBorders>
            <w:vAlign w:val="center"/>
          </w:tcPr>
          <w:p>
            <w:pPr>
              <w:spacing w:line="226" w:lineRule="exact"/>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预决算工作已按规定及时进行公开，得3分</w:t>
            </w:r>
          </w:p>
        </w:tc>
        <w:tc>
          <w:tcPr>
            <w:tcW w:w="617" w:type="dxa"/>
            <w:tcBorders>
              <w:top w:val="single" w:color="auto" w:sz="4" w:space="0"/>
              <w:left w:val="single" w:color="auto" w:sz="4" w:space="0"/>
              <w:bottom w:val="single" w:color="auto" w:sz="4" w:space="0"/>
              <w:right w:val="single" w:color="auto" w:sz="4" w:space="0"/>
            </w:tcBorders>
            <w:vAlign w:val="center"/>
          </w:tcPr>
          <w:p>
            <w:pPr>
              <w:spacing w:line="226" w:lineRule="exact"/>
              <w:jc w:val="center"/>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3</w:t>
            </w:r>
          </w:p>
        </w:tc>
        <w:tc>
          <w:tcPr>
            <w:tcW w:w="441" w:type="dxa"/>
            <w:tcBorders>
              <w:top w:val="single" w:color="auto" w:sz="4" w:space="0"/>
              <w:left w:val="single" w:color="auto" w:sz="4" w:space="0"/>
              <w:bottom w:val="single" w:color="auto" w:sz="4" w:space="0"/>
              <w:right w:val="single" w:color="auto" w:sz="4" w:space="0"/>
            </w:tcBorders>
            <w:vAlign w:val="center"/>
          </w:tcPr>
          <w:p>
            <w:pPr>
              <w:spacing w:line="226" w:lineRule="exact"/>
              <w:jc w:val="center"/>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42" w:type="dxa"/>
          <w:trHeight w:val="424" w:hRule="atLeast"/>
          <w:jc w:val="center"/>
        </w:trPr>
        <w:tc>
          <w:tcPr>
            <w:tcW w:w="861" w:type="dxa"/>
            <w:vMerge w:val="continue"/>
            <w:tcBorders>
              <w:left w:val="single" w:color="auto" w:sz="4" w:space="0"/>
              <w:right w:val="single" w:color="auto" w:sz="4" w:space="0"/>
            </w:tcBorders>
            <w:vAlign w:val="center"/>
          </w:tcPr>
          <w:p>
            <w:pPr>
              <w:spacing w:line="226" w:lineRule="exact"/>
              <w:rPr>
                <w:rFonts w:hint="eastAsia" w:ascii="方正仿宋_GBK" w:hAnsi="方正仿宋_GBK" w:eastAsia="方正仿宋_GBK" w:cs="方正仿宋_GBK"/>
                <w:bCs/>
                <w:sz w:val="20"/>
                <w:szCs w:val="20"/>
              </w:rPr>
            </w:pPr>
          </w:p>
        </w:tc>
        <w:tc>
          <w:tcPr>
            <w:tcW w:w="919" w:type="dxa"/>
            <w:vMerge w:val="continue"/>
            <w:tcBorders>
              <w:left w:val="single" w:color="auto" w:sz="4" w:space="0"/>
              <w:bottom w:val="single" w:color="auto" w:sz="4" w:space="0"/>
              <w:right w:val="single" w:color="auto" w:sz="4" w:space="0"/>
            </w:tcBorders>
            <w:vAlign w:val="center"/>
          </w:tcPr>
          <w:p>
            <w:pPr>
              <w:spacing w:line="226" w:lineRule="exact"/>
              <w:rPr>
                <w:rFonts w:hint="eastAsia" w:ascii="方正仿宋_GBK" w:hAnsi="方正仿宋_GBK" w:eastAsia="方正仿宋_GBK" w:cs="方正仿宋_GBK"/>
                <w:bCs/>
                <w:sz w:val="20"/>
                <w:szCs w:val="20"/>
              </w:rPr>
            </w:pPr>
          </w:p>
        </w:tc>
        <w:tc>
          <w:tcPr>
            <w:tcW w:w="1711" w:type="dxa"/>
            <w:tcBorders>
              <w:top w:val="single" w:color="auto" w:sz="4" w:space="0"/>
              <w:left w:val="single" w:color="auto" w:sz="4" w:space="0"/>
              <w:bottom w:val="single" w:color="auto" w:sz="4" w:space="0"/>
              <w:right w:val="single" w:color="auto" w:sz="4" w:space="0"/>
            </w:tcBorders>
            <w:vAlign w:val="center"/>
          </w:tcPr>
          <w:p>
            <w:pPr>
              <w:spacing w:line="226" w:lineRule="exact"/>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非税收入管理合规性</w:t>
            </w:r>
          </w:p>
        </w:tc>
        <w:tc>
          <w:tcPr>
            <w:tcW w:w="976" w:type="dxa"/>
            <w:tcBorders>
              <w:top w:val="single" w:color="auto" w:sz="4" w:space="0"/>
              <w:left w:val="single" w:color="auto" w:sz="4" w:space="0"/>
              <w:bottom w:val="single" w:color="auto" w:sz="4" w:space="0"/>
              <w:right w:val="single" w:color="auto" w:sz="4" w:space="0"/>
            </w:tcBorders>
            <w:vAlign w:val="center"/>
          </w:tcPr>
          <w:p>
            <w:pPr>
              <w:spacing w:line="226" w:lineRule="exact"/>
              <w:jc w:val="center"/>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合规</w:t>
            </w:r>
          </w:p>
        </w:tc>
        <w:tc>
          <w:tcPr>
            <w:tcW w:w="2340" w:type="dxa"/>
            <w:tcBorders>
              <w:top w:val="single" w:color="auto" w:sz="4" w:space="0"/>
              <w:left w:val="single" w:color="auto" w:sz="4" w:space="0"/>
              <w:bottom w:val="single" w:color="auto" w:sz="4" w:space="0"/>
              <w:right w:val="single" w:color="auto" w:sz="4" w:space="0"/>
            </w:tcBorders>
            <w:vAlign w:val="center"/>
          </w:tcPr>
          <w:p>
            <w:pPr>
              <w:spacing w:line="226" w:lineRule="exact"/>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本单位非税收入管理是否合规（2分）</w:t>
            </w:r>
          </w:p>
        </w:tc>
        <w:tc>
          <w:tcPr>
            <w:tcW w:w="2910" w:type="dxa"/>
            <w:tcBorders>
              <w:top w:val="single" w:color="auto" w:sz="4" w:space="0"/>
              <w:left w:val="single" w:color="auto" w:sz="4" w:space="0"/>
              <w:bottom w:val="single" w:color="auto" w:sz="4" w:space="0"/>
              <w:right w:val="single" w:color="auto" w:sz="4" w:space="0"/>
            </w:tcBorders>
            <w:vAlign w:val="center"/>
          </w:tcPr>
          <w:p>
            <w:pPr>
              <w:spacing w:line="226" w:lineRule="exact"/>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本单位非税收入管理合规，得2分</w:t>
            </w:r>
          </w:p>
        </w:tc>
        <w:tc>
          <w:tcPr>
            <w:tcW w:w="617" w:type="dxa"/>
            <w:tcBorders>
              <w:top w:val="single" w:color="auto" w:sz="4" w:space="0"/>
              <w:left w:val="single" w:color="auto" w:sz="4" w:space="0"/>
              <w:bottom w:val="single" w:color="auto" w:sz="4" w:space="0"/>
              <w:right w:val="single" w:color="auto" w:sz="4" w:space="0"/>
            </w:tcBorders>
            <w:vAlign w:val="center"/>
          </w:tcPr>
          <w:p>
            <w:pPr>
              <w:spacing w:line="226" w:lineRule="exact"/>
              <w:jc w:val="center"/>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2</w:t>
            </w:r>
          </w:p>
        </w:tc>
        <w:tc>
          <w:tcPr>
            <w:tcW w:w="441" w:type="dxa"/>
            <w:tcBorders>
              <w:top w:val="single" w:color="auto" w:sz="4" w:space="0"/>
              <w:left w:val="single" w:color="auto" w:sz="4" w:space="0"/>
              <w:bottom w:val="single" w:color="auto" w:sz="4" w:space="0"/>
              <w:right w:val="single" w:color="auto" w:sz="4" w:space="0"/>
            </w:tcBorders>
            <w:vAlign w:val="center"/>
          </w:tcPr>
          <w:p>
            <w:pPr>
              <w:spacing w:line="226" w:lineRule="exact"/>
              <w:jc w:val="center"/>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42" w:type="dxa"/>
          <w:trHeight w:val="464" w:hRule="atLeast"/>
          <w:jc w:val="center"/>
        </w:trPr>
        <w:tc>
          <w:tcPr>
            <w:tcW w:w="861" w:type="dxa"/>
            <w:vMerge w:val="continue"/>
            <w:tcBorders>
              <w:left w:val="single" w:color="auto" w:sz="4" w:space="0"/>
              <w:right w:val="single" w:color="auto" w:sz="4" w:space="0"/>
            </w:tcBorders>
            <w:vAlign w:val="center"/>
          </w:tcPr>
          <w:p>
            <w:pPr>
              <w:spacing w:line="226" w:lineRule="exact"/>
              <w:rPr>
                <w:rFonts w:hint="eastAsia" w:ascii="方正仿宋_GBK" w:hAnsi="方正仿宋_GBK" w:eastAsia="方正仿宋_GBK" w:cs="方正仿宋_GBK"/>
                <w:bCs/>
                <w:sz w:val="20"/>
                <w:szCs w:val="20"/>
              </w:rPr>
            </w:pPr>
          </w:p>
        </w:tc>
        <w:tc>
          <w:tcPr>
            <w:tcW w:w="919" w:type="dxa"/>
            <w:vMerge w:val="restart"/>
            <w:tcBorders>
              <w:top w:val="single" w:color="auto" w:sz="4" w:space="0"/>
              <w:left w:val="single" w:color="auto" w:sz="4" w:space="0"/>
              <w:right w:val="single" w:color="auto" w:sz="4" w:space="0"/>
            </w:tcBorders>
            <w:vAlign w:val="center"/>
          </w:tcPr>
          <w:p>
            <w:pPr>
              <w:spacing w:line="226" w:lineRule="exact"/>
              <w:jc w:val="center"/>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资产管理</w:t>
            </w:r>
          </w:p>
        </w:tc>
        <w:tc>
          <w:tcPr>
            <w:tcW w:w="1711" w:type="dxa"/>
            <w:tcBorders>
              <w:top w:val="single" w:color="auto" w:sz="4" w:space="0"/>
              <w:left w:val="single" w:color="auto" w:sz="4" w:space="0"/>
              <w:bottom w:val="single" w:color="auto" w:sz="4" w:space="0"/>
              <w:right w:val="single" w:color="auto" w:sz="4" w:space="0"/>
            </w:tcBorders>
            <w:vAlign w:val="center"/>
          </w:tcPr>
          <w:p>
            <w:pPr>
              <w:spacing w:line="226" w:lineRule="exact"/>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资产管理制度健全性</w:t>
            </w:r>
          </w:p>
        </w:tc>
        <w:tc>
          <w:tcPr>
            <w:tcW w:w="976" w:type="dxa"/>
            <w:tcBorders>
              <w:top w:val="single" w:color="auto" w:sz="4" w:space="0"/>
              <w:left w:val="single" w:color="auto" w:sz="4" w:space="0"/>
              <w:bottom w:val="single" w:color="auto" w:sz="4" w:space="0"/>
              <w:right w:val="single" w:color="auto" w:sz="4" w:space="0"/>
            </w:tcBorders>
            <w:vAlign w:val="center"/>
          </w:tcPr>
          <w:p>
            <w:pPr>
              <w:spacing w:line="226" w:lineRule="exact"/>
              <w:jc w:val="center"/>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健全</w:t>
            </w:r>
          </w:p>
        </w:tc>
        <w:tc>
          <w:tcPr>
            <w:tcW w:w="2340" w:type="dxa"/>
            <w:tcBorders>
              <w:top w:val="single" w:color="auto" w:sz="4" w:space="0"/>
              <w:left w:val="single" w:color="auto" w:sz="4" w:space="0"/>
              <w:bottom w:val="single" w:color="auto" w:sz="4" w:space="0"/>
              <w:right w:val="single" w:color="auto" w:sz="4" w:space="0"/>
            </w:tcBorders>
            <w:vAlign w:val="center"/>
          </w:tcPr>
          <w:p>
            <w:pPr>
              <w:spacing w:line="226" w:lineRule="exact"/>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单位是否建立有健全完备的资产管理制度（3分）</w:t>
            </w:r>
          </w:p>
        </w:tc>
        <w:tc>
          <w:tcPr>
            <w:tcW w:w="2910" w:type="dxa"/>
            <w:tcBorders>
              <w:top w:val="single" w:color="auto" w:sz="4" w:space="0"/>
              <w:left w:val="single" w:color="auto" w:sz="4" w:space="0"/>
              <w:bottom w:val="single" w:color="auto" w:sz="4" w:space="0"/>
              <w:right w:val="single" w:color="auto" w:sz="4" w:space="0"/>
            </w:tcBorders>
            <w:vAlign w:val="center"/>
          </w:tcPr>
          <w:p>
            <w:pPr>
              <w:spacing w:line="226" w:lineRule="exact"/>
              <w:jc w:val="left"/>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建立完善健全的资产管理制度，得3分</w:t>
            </w:r>
          </w:p>
        </w:tc>
        <w:tc>
          <w:tcPr>
            <w:tcW w:w="617" w:type="dxa"/>
            <w:tcBorders>
              <w:top w:val="single" w:color="auto" w:sz="4" w:space="0"/>
              <w:left w:val="single" w:color="auto" w:sz="4" w:space="0"/>
              <w:bottom w:val="single" w:color="auto" w:sz="4" w:space="0"/>
              <w:right w:val="single" w:color="auto" w:sz="4" w:space="0"/>
            </w:tcBorders>
            <w:vAlign w:val="center"/>
          </w:tcPr>
          <w:p>
            <w:pPr>
              <w:spacing w:line="226" w:lineRule="exact"/>
              <w:jc w:val="center"/>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3</w:t>
            </w:r>
          </w:p>
        </w:tc>
        <w:tc>
          <w:tcPr>
            <w:tcW w:w="441" w:type="dxa"/>
            <w:tcBorders>
              <w:top w:val="single" w:color="auto" w:sz="4" w:space="0"/>
              <w:left w:val="single" w:color="auto" w:sz="4" w:space="0"/>
              <w:bottom w:val="single" w:color="auto" w:sz="4" w:space="0"/>
              <w:right w:val="single" w:color="auto" w:sz="4" w:space="0"/>
            </w:tcBorders>
            <w:vAlign w:val="center"/>
          </w:tcPr>
          <w:p>
            <w:pPr>
              <w:spacing w:line="226" w:lineRule="exact"/>
              <w:jc w:val="center"/>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42" w:type="dxa"/>
          <w:trHeight w:val="90" w:hRule="atLeast"/>
          <w:jc w:val="center"/>
        </w:trPr>
        <w:tc>
          <w:tcPr>
            <w:tcW w:w="861" w:type="dxa"/>
            <w:vMerge w:val="continue"/>
            <w:tcBorders>
              <w:left w:val="single" w:color="auto" w:sz="4" w:space="0"/>
              <w:right w:val="single" w:color="auto" w:sz="4" w:space="0"/>
            </w:tcBorders>
            <w:vAlign w:val="center"/>
          </w:tcPr>
          <w:p>
            <w:pPr>
              <w:spacing w:line="226" w:lineRule="exact"/>
              <w:rPr>
                <w:rFonts w:hint="eastAsia" w:ascii="方正仿宋_GBK" w:hAnsi="方正仿宋_GBK" w:eastAsia="方正仿宋_GBK" w:cs="方正仿宋_GBK"/>
                <w:bCs/>
                <w:sz w:val="20"/>
                <w:szCs w:val="20"/>
              </w:rPr>
            </w:pPr>
          </w:p>
        </w:tc>
        <w:tc>
          <w:tcPr>
            <w:tcW w:w="919" w:type="dxa"/>
            <w:vMerge w:val="continue"/>
            <w:tcBorders>
              <w:left w:val="single" w:color="auto" w:sz="4" w:space="0"/>
              <w:right w:val="single" w:color="auto" w:sz="4" w:space="0"/>
            </w:tcBorders>
            <w:vAlign w:val="center"/>
          </w:tcPr>
          <w:p>
            <w:pPr>
              <w:spacing w:line="226" w:lineRule="exact"/>
              <w:rPr>
                <w:rFonts w:hint="eastAsia" w:ascii="方正仿宋_GBK" w:hAnsi="方正仿宋_GBK" w:eastAsia="方正仿宋_GBK" w:cs="方正仿宋_GBK"/>
                <w:bCs/>
                <w:sz w:val="20"/>
                <w:szCs w:val="20"/>
              </w:rPr>
            </w:pPr>
          </w:p>
        </w:tc>
        <w:tc>
          <w:tcPr>
            <w:tcW w:w="1711" w:type="dxa"/>
            <w:tcBorders>
              <w:top w:val="single" w:color="auto" w:sz="4" w:space="0"/>
              <w:left w:val="single" w:color="auto" w:sz="4" w:space="0"/>
              <w:bottom w:val="single" w:color="auto" w:sz="4" w:space="0"/>
              <w:right w:val="single" w:color="auto" w:sz="4" w:space="0"/>
            </w:tcBorders>
            <w:vAlign w:val="center"/>
          </w:tcPr>
          <w:p>
            <w:pPr>
              <w:spacing w:line="226" w:lineRule="exact"/>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资产管理规范性</w:t>
            </w:r>
          </w:p>
        </w:tc>
        <w:tc>
          <w:tcPr>
            <w:tcW w:w="976" w:type="dxa"/>
            <w:tcBorders>
              <w:top w:val="single" w:color="auto" w:sz="4" w:space="0"/>
              <w:left w:val="single" w:color="auto" w:sz="4" w:space="0"/>
              <w:bottom w:val="single" w:color="auto" w:sz="4" w:space="0"/>
              <w:right w:val="single" w:color="auto" w:sz="4" w:space="0"/>
            </w:tcBorders>
            <w:vAlign w:val="center"/>
          </w:tcPr>
          <w:p>
            <w:pPr>
              <w:spacing w:line="226" w:lineRule="exact"/>
              <w:jc w:val="center"/>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规范</w:t>
            </w:r>
          </w:p>
        </w:tc>
        <w:tc>
          <w:tcPr>
            <w:tcW w:w="2340" w:type="dxa"/>
            <w:tcBorders>
              <w:top w:val="single" w:color="auto" w:sz="4" w:space="0"/>
              <w:left w:val="single" w:color="auto" w:sz="4" w:space="0"/>
              <w:bottom w:val="single" w:color="auto" w:sz="4" w:space="0"/>
              <w:right w:val="single" w:color="auto" w:sz="4" w:space="0"/>
            </w:tcBorders>
            <w:vAlign w:val="center"/>
          </w:tcPr>
          <w:p>
            <w:pPr>
              <w:spacing w:line="226" w:lineRule="exact"/>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单位资产管理制度执行是否规范、有效（3分）</w:t>
            </w:r>
          </w:p>
        </w:tc>
        <w:tc>
          <w:tcPr>
            <w:tcW w:w="2910" w:type="dxa"/>
            <w:tcBorders>
              <w:top w:val="single" w:color="auto" w:sz="4" w:space="0"/>
              <w:left w:val="single" w:color="auto" w:sz="4" w:space="0"/>
              <w:bottom w:val="single" w:color="auto" w:sz="4" w:space="0"/>
              <w:right w:val="single" w:color="auto" w:sz="4" w:space="0"/>
            </w:tcBorders>
            <w:vAlign w:val="center"/>
          </w:tcPr>
          <w:p>
            <w:pPr>
              <w:pStyle w:val="42"/>
              <w:spacing w:line="226" w:lineRule="exact"/>
              <w:ind w:firstLine="0" w:firstLineChars="0"/>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单位资产管理制度执行规范、有效，得3分</w:t>
            </w:r>
          </w:p>
        </w:tc>
        <w:tc>
          <w:tcPr>
            <w:tcW w:w="617" w:type="dxa"/>
            <w:tcBorders>
              <w:top w:val="single" w:color="auto" w:sz="4" w:space="0"/>
              <w:left w:val="single" w:color="auto" w:sz="4" w:space="0"/>
              <w:bottom w:val="single" w:color="auto" w:sz="4" w:space="0"/>
              <w:right w:val="single" w:color="auto" w:sz="4" w:space="0"/>
            </w:tcBorders>
            <w:vAlign w:val="center"/>
          </w:tcPr>
          <w:p>
            <w:pPr>
              <w:spacing w:line="226" w:lineRule="exact"/>
              <w:jc w:val="center"/>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3</w:t>
            </w:r>
          </w:p>
        </w:tc>
        <w:tc>
          <w:tcPr>
            <w:tcW w:w="441" w:type="dxa"/>
            <w:tcBorders>
              <w:top w:val="single" w:color="auto" w:sz="4" w:space="0"/>
              <w:left w:val="single" w:color="auto" w:sz="4" w:space="0"/>
              <w:bottom w:val="single" w:color="auto" w:sz="4" w:space="0"/>
              <w:right w:val="single" w:color="auto" w:sz="4" w:space="0"/>
            </w:tcBorders>
            <w:vAlign w:val="center"/>
          </w:tcPr>
          <w:p>
            <w:pPr>
              <w:spacing w:line="226" w:lineRule="exact"/>
              <w:jc w:val="center"/>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42" w:type="dxa"/>
          <w:trHeight w:val="426" w:hRule="atLeast"/>
          <w:jc w:val="center"/>
        </w:trPr>
        <w:tc>
          <w:tcPr>
            <w:tcW w:w="861" w:type="dxa"/>
            <w:vMerge w:val="continue"/>
            <w:tcBorders>
              <w:left w:val="single" w:color="auto" w:sz="4" w:space="0"/>
              <w:right w:val="single" w:color="auto" w:sz="4" w:space="0"/>
            </w:tcBorders>
            <w:vAlign w:val="center"/>
          </w:tcPr>
          <w:p>
            <w:pPr>
              <w:spacing w:line="226" w:lineRule="exact"/>
              <w:rPr>
                <w:rFonts w:hint="eastAsia" w:ascii="方正仿宋_GBK" w:hAnsi="方正仿宋_GBK" w:eastAsia="方正仿宋_GBK" w:cs="方正仿宋_GBK"/>
                <w:bCs/>
                <w:sz w:val="20"/>
                <w:szCs w:val="20"/>
              </w:rPr>
            </w:pPr>
          </w:p>
        </w:tc>
        <w:tc>
          <w:tcPr>
            <w:tcW w:w="919" w:type="dxa"/>
            <w:vMerge w:val="continue"/>
            <w:tcBorders>
              <w:left w:val="single" w:color="auto" w:sz="4" w:space="0"/>
              <w:bottom w:val="single" w:color="auto" w:sz="4" w:space="0"/>
              <w:right w:val="single" w:color="auto" w:sz="4" w:space="0"/>
            </w:tcBorders>
            <w:vAlign w:val="center"/>
          </w:tcPr>
          <w:p>
            <w:pPr>
              <w:spacing w:line="226" w:lineRule="exact"/>
              <w:rPr>
                <w:rFonts w:hint="eastAsia" w:ascii="方正仿宋_GBK" w:hAnsi="方正仿宋_GBK" w:eastAsia="方正仿宋_GBK" w:cs="方正仿宋_GBK"/>
                <w:bCs/>
                <w:sz w:val="20"/>
                <w:szCs w:val="20"/>
              </w:rPr>
            </w:pPr>
          </w:p>
        </w:tc>
        <w:tc>
          <w:tcPr>
            <w:tcW w:w="1711" w:type="dxa"/>
            <w:tcBorders>
              <w:top w:val="single" w:color="auto" w:sz="4" w:space="0"/>
              <w:left w:val="single" w:color="auto" w:sz="4" w:space="0"/>
              <w:bottom w:val="single" w:color="auto" w:sz="4" w:space="0"/>
              <w:right w:val="single" w:color="auto" w:sz="4" w:space="0"/>
            </w:tcBorders>
            <w:vAlign w:val="center"/>
          </w:tcPr>
          <w:p>
            <w:pPr>
              <w:spacing w:line="226" w:lineRule="exact"/>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固定资产利用率</w:t>
            </w:r>
          </w:p>
        </w:tc>
        <w:tc>
          <w:tcPr>
            <w:tcW w:w="976" w:type="dxa"/>
            <w:tcBorders>
              <w:top w:val="single" w:color="auto" w:sz="4" w:space="0"/>
              <w:left w:val="single" w:color="auto" w:sz="4" w:space="0"/>
              <w:bottom w:val="single" w:color="auto" w:sz="4" w:space="0"/>
              <w:right w:val="single" w:color="auto" w:sz="4" w:space="0"/>
            </w:tcBorders>
            <w:vAlign w:val="center"/>
          </w:tcPr>
          <w:p>
            <w:pPr>
              <w:spacing w:line="226" w:lineRule="exact"/>
              <w:jc w:val="center"/>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＝100%</w:t>
            </w:r>
          </w:p>
        </w:tc>
        <w:tc>
          <w:tcPr>
            <w:tcW w:w="2340" w:type="dxa"/>
            <w:tcBorders>
              <w:top w:val="single" w:color="auto" w:sz="4" w:space="0"/>
              <w:left w:val="single" w:color="auto" w:sz="4" w:space="0"/>
              <w:bottom w:val="single" w:color="auto" w:sz="4" w:space="0"/>
              <w:right w:val="single" w:color="auto" w:sz="4" w:space="0"/>
            </w:tcBorders>
            <w:vAlign w:val="center"/>
          </w:tcPr>
          <w:p>
            <w:pPr>
              <w:spacing w:line="226" w:lineRule="exact"/>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固定资产是否完全利用，未闲置（2分）</w:t>
            </w:r>
          </w:p>
        </w:tc>
        <w:tc>
          <w:tcPr>
            <w:tcW w:w="2910" w:type="dxa"/>
            <w:tcBorders>
              <w:top w:val="single" w:color="auto" w:sz="4" w:space="0"/>
              <w:left w:val="single" w:color="auto" w:sz="4" w:space="0"/>
              <w:bottom w:val="single" w:color="auto" w:sz="4" w:space="0"/>
              <w:right w:val="single" w:color="auto" w:sz="4" w:space="0"/>
            </w:tcBorders>
            <w:vAlign w:val="center"/>
          </w:tcPr>
          <w:p>
            <w:pPr>
              <w:pStyle w:val="42"/>
              <w:spacing w:line="226" w:lineRule="exact"/>
              <w:ind w:firstLine="0" w:firstLineChars="0"/>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本单位固定资产定期盘点，充分利用，并纳入公物仓统筹管理，得2分</w:t>
            </w:r>
          </w:p>
        </w:tc>
        <w:tc>
          <w:tcPr>
            <w:tcW w:w="617" w:type="dxa"/>
            <w:tcBorders>
              <w:top w:val="single" w:color="auto" w:sz="4" w:space="0"/>
              <w:left w:val="single" w:color="auto" w:sz="4" w:space="0"/>
              <w:bottom w:val="single" w:color="auto" w:sz="4" w:space="0"/>
              <w:right w:val="single" w:color="auto" w:sz="4" w:space="0"/>
            </w:tcBorders>
            <w:vAlign w:val="center"/>
          </w:tcPr>
          <w:p>
            <w:pPr>
              <w:spacing w:line="226" w:lineRule="exact"/>
              <w:jc w:val="center"/>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2</w:t>
            </w:r>
          </w:p>
        </w:tc>
        <w:tc>
          <w:tcPr>
            <w:tcW w:w="441" w:type="dxa"/>
            <w:tcBorders>
              <w:top w:val="single" w:color="auto" w:sz="4" w:space="0"/>
              <w:left w:val="single" w:color="auto" w:sz="4" w:space="0"/>
              <w:bottom w:val="single" w:color="auto" w:sz="4" w:space="0"/>
              <w:right w:val="single" w:color="auto" w:sz="4" w:space="0"/>
            </w:tcBorders>
            <w:vAlign w:val="center"/>
          </w:tcPr>
          <w:p>
            <w:pPr>
              <w:spacing w:line="226" w:lineRule="exact"/>
              <w:jc w:val="center"/>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42" w:type="dxa"/>
          <w:trHeight w:val="511" w:hRule="atLeast"/>
          <w:jc w:val="center"/>
        </w:trPr>
        <w:tc>
          <w:tcPr>
            <w:tcW w:w="861" w:type="dxa"/>
            <w:vMerge w:val="continue"/>
            <w:tcBorders>
              <w:left w:val="single" w:color="auto" w:sz="4" w:space="0"/>
              <w:right w:val="single" w:color="auto" w:sz="4" w:space="0"/>
            </w:tcBorders>
            <w:vAlign w:val="center"/>
          </w:tcPr>
          <w:p>
            <w:pPr>
              <w:spacing w:line="226" w:lineRule="exact"/>
              <w:jc w:val="center"/>
              <w:rPr>
                <w:rFonts w:hint="eastAsia" w:ascii="方正仿宋_GBK" w:hAnsi="方正仿宋_GBK" w:eastAsia="方正仿宋_GBK" w:cs="方正仿宋_GBK"/>
                <w:bCs/>
                <w:sz w:val="20"/>
                <w:szCs w:val="20"/>
              </w:rPr>
            </w:pPr>
          </w:p>
        </w:tc>
        <w:tc>
          <w:tcPr>
            <w:tcW w:w="919" w:type="dxa"/>
            <w:vMerge w:val="restart"/>
            <w:vAlign w:val="center"/>
          </w:tcPr>
          <w:p>
            <w:pPr>
              <w:spacing w:line="226" w:lineRule="exact"/>
              <w:jc w:val="center"/>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项目管理</w:t>
            </w:r>
          </w:p>
        </w:tc>
        <w:tc>
          <w:tcPr>
            <w:tcW w:w="1711" w:type="dxa"/>
            <w:vAlign w:val="center"/>
          </w:tcPr>
          <w:p>
            <w:pPr>
              <w:spacing w:line="226" w:lineRule="exact"/>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项目管理制度健全性</w:t>
            </w:r>
          </w:p>
        </w:tc>
        <w:tc>
          <w:tcPr>
            <w:tcW w:w="976" w:type="dxa"/>
            <w:vAlign w:val="center"/>
          </w:tcPr>
          <w:p>
            <w:pPr>
              <w:spacing w:line="226" w:lineRule="exact"/>
              <w:jc w:val="center"/>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健全</w:t>
            </w:r>
          </w:p>
        </w:tc>
        <w:tc>
          <w:tcPr>
            <w:tcW w:w="2340" w:type="dxa"/>
            <w:vAlign w:val="center"/>
          </w:tcPr>
          <w:p>
            <w:pPr>
              <w:spacing w:line="226" w:lineRule="exact"/>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单位是否建立有健全完备的项目管理制度（3分）</w:t>
            </w:r>
          </w:p>
        </w:tc>
        <w:tc>
          <w:tcPr>
            <w:tcW w:w="2910" w:type="dxa"/>
            <w:vAlign w:val="center"/>
          </w:tcPr>
          <w:p>
            <w:pPr>
              <w:spacing w:line="226" w:lineRule="exact"/>
              <w:jc w:val="left"/>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建立完善健全的项目管理制度，得3分</w:t>
            </w:r>
          </w:p>
        </w:tc>
        <w:tc>
          <w:tcPr>
            <w:tcW w:w="617" w:type="dxa"/>
            <w:vAlign w:val="center"/>
          </w:tcPr>
          <w:p>
            <w:pPr>
              <w:spacing w:line="226" w:lineRule="exact"/>
              <w:jc w:val="center"/>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3</w:t>
            </w:r>
          </w:p>
        </w:tc>
        <w:tc>
          <w:tcPr>
            <w:tcW w:w="441" w:type="dxa"/>
            <w:vAlign w:val="center"/>
          </w:tcPr>
          <w:p>
            <w:pPr>
              <w:spacing w:line="226" w:lineRule="exact"/>
              <w:jc w:val="center"/>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42" w:type="dxa"/>
          <w:trHeight w:val="511" w:hRule="atLeast"/>
          <w:jc w:val="center"/>
        </w:trPr>
        <w:tc>
          <w:tcPr>
            <w:tcW w:w="861" w:type="dxa"/>
            <w:vMerge w:val="continue"/>
            <w:tcBorders>
              <w:left w:val="single" w:color="auto" w:sz="4" w:space="0"/>
              <w:right w:val="single" w:color="auto" w:sz="4" w:space="0"/>
            </w:tcBorders>
            <w:vAlign w:val="center"/>
          </w:tcPr>
          <w:p>
            <w:pPr>
              <w:spacing w:line="226" w:lineRule="exact"/>
              <w:jc w:val="center"/>
              <w:rPr>
                <w:rFonts w:hint="eastAsia" w:ascii="方正仿宋_GBK" w:hAnsi="方正仿宋_GBK" w:eastAsia="方正仿宋_GBK" w:cs="方正仿宋_GBK"/>
                <w:bCs/>
                <w:sz w:val="20"/>
                <w:szCs w:val="20"/>
              </w:rPr>
            </w:pPr>
          </w:p>
        </w:tc>
        <w:tc>
          <w:tcPr>
            <w:tcW w:w="919" w:type="dxa"/>
            <w:vMerge w:val="continue"/>
            <w:vAlign w:val="center"/>
          </w:tcPr>
          <w:p>
            <w:pPr>
              <w:spacing w:line="226" w:lineRule="exact"/>
              <w:jc w:val="center"/>
              <w:rPr>
                <w:rFonts w:hint="eastAsia" w:ascii="方正仿宋_GBK" w:hAnsi="方正仿宋_GBK" w:eastAsia="方正仿宋_GBK" w:cs="方正仿宋_GBK"/>
                <w:bCs/>
                <w:sz w:val="20"/>
                <w:szCs w:val="20"/>
              </w:rPr>
            </w:pPr>
          </w:p>
        </w:tc>
        <w:tc>
          <w:tcPr>
            <w:tcW w:w="1711" w:type="dxa"/>
            <w:vAlign w:val="center"/>
          </w:tcPr>
          <w:p>
            <w:pPr>
              <w:spacing w:line="226" w:lineRule="exact"/>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项目管理制度执行规范性</w:t>
            </w:r>
          </w:p>
        </w:tc>
        <w:tc>
          <w:tcPr>
            <w:tcW w:w="976" w:type="dxa"/>
            <w:vAlign w:val="center"/>
          </w:tcPr>
          <w:p>
            <w:pPr>
              <w:spacing w:line="226" w:lineRule="exact"/>
              <w:jc w:val="center"/>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规范</w:t>
            </w:r>
          </w:p>
        </w:tc>
        <w:tc>
          <w:tcPr>
            <w:tcW w:w="2340" w:type="dxa"/>
            <w:vAlign w:val="center"/>
          </w:tcPr>
          <w:p>
            <w:pPr>
              <w:spacing w:line="226" w:lineRule="exact"/>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单位项目管理制度执行是否规范、有效（3分）</w:t>
            </w:r>
          </w:p>
        </w:tc>
        <w:tc>
          <w:tcPr>
            <w:tcW w:w="2910" w:type="dxa"/>
            <w:vAlign w:val="center"/>
          </w:tcPr>
          <w:p>
            <w:pPr>
              <w:spacing w:line="226" w:lineRule="exact"/>
              <w:jc w:val="left"/>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单位项目管理制度执行规范、有效，得3分</w:t>
            </w:r>
          </w:p>
        </w:tc>
        <w:tc>
          <w:tcPr>
            <w:tcW w:w="617" w:type="dxa"/>
            <w:vAlign w:val="center"/>
          </w:tcPr>
          <w:p>
            <w:pPr>
              <w:spacing w:line="226" w:lineRule="exact"/>
              <w:jc w:val="center"/>
              <w:rPr>
                <w:rFonts w:hint="eastAsia" w:ascii="方正仿宋_GBK" w:hAnsi="方正仿宋_GBK" w:eastAsia="方正仿宋_GBK" w:cs="方正仿宋_GBK"/>
                <w:bCs/>
                <w:kern w:val="2"/>
                <w:sz w:val="20"/>
                <w:szCs w:val="20"/>
              </w:rPr>
            </w:pPr>
            <w:r>
              <w:rPr>
                <w:rFonts w:hint="eastAsia" w:ascii="方正仿宋_GBK" w:hAnsi="方正仿宋_GBK" w:eastAsia="方正仿宋_GBK" w:cs="方正仿宋_GBK"/>
                <w:bCs/>
                <w:sz w:val="20"/>
                <w:szCs w:val="20"/>
              </w:rPr>
              <w:t>3</w:t>
            </w:r>
          </w:p>
        </w:tc>
        <w:tc>
          <w:tcPr>
            <w:tcW w:w="441" w:type="dxa"/>
            <w:vAlign w:val="center"/>
          </w:tcPr>
          <w:p>
            <w:pPr>
              <w:spacing w:line="226" w:lineRule="exact"/>
              <w:jc w:val="center"/>
              <w:rPr>
                <w:rFonts w:hint="eastAsia" w:ascii="方正仿宋_GBK" w:hAnsi="方正仿宋_GBK" w:eastAsia="方正仿宋_GBK" w:cs="方正仿宋_GBK"/>
                <w:bCs/>
                <w:kern w:val="2"/>
                <w:sz w:val="20"/>
                <w:szCs w:val="20"/>
              </w:rPr>
            </w:pPr>
            <w:r>
              <w:rPr>
                <w:rFonts w:hint="eastAsia" w:ascii="方正仿宋_GBK" w:hAnsi="方正仿宋_GBK" w:eastAsia="方正仿宋_GBK" w:cs="方正仿宋_GBK"/>
                <w:bCs/>
                <w:sz w:val="20"/>
                <w:szCs w:val="20"/>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42" w:type="dxa"/>
          <w:trHeight w:val="511" w:hRule="atLeast"/>
          <w:jc w:val="center"/>
        </w:trPr>
        <w:tc>
          <w:tcPr>
            <w:tcW w:w="861" w:type="dxa"/>
            <w:vMerge w:val="continue"/>
            <w:tcBorders>
              <w:left w:val="single" w:color="auto" w:sz="4" w:space="0"/>
              <w:right w:val="single" w:color="auto" w:sz="4" w:space="0"/>
            </w:tcBorders>
            <w:vAlign w:val="center"/>
          </w:tcPr>
          <w:p>
            <w:pPr>
              <w:spacing w:line="226" w:lineRule="exact"/>
              <w:jc w:val="center"/>
              <w:rPr>
                <w:rFonts w:hint="eastAsia" w:ascii="方正仿宋_GBK" w:hAnsi="方正仿宋_GBK" w:eastAsia="方正仿宋_GBK" w:cs="方正仿宋_GBK"/>
                <w:bCs/>
                <w:sz w:val="20"/>
                <w:szCs w:val="20"/>
              </w:rPr>
            </w:pPr>
          </w:p>
        </w:tc>
        <w:tc>
          <w:tcPr>
            <w:tcW w:w="919" w:type="dxa"/>
            <w:vMerge w:val="restart"/>
            <w:vAlign w:val="center"/>
          </w:tcPr>
          <w:p>
            <w:pPr>
              <w:spacing w:line="226" w:lineRule="exact"/>
              <w:jc w:val="center"/>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人员管理</w:t>
            </w:r>
          </w:p>
        </w:tc>
        <w:tc>
          <w:tcPr>
            <w:tcW w:w="1711" w:type="dxa"/>
            <w:vAlign w:val="center"/>
          </w:tcPr>
          <w:p>
            <w:pPr>
              <w:spacing w:line="226" w:lineRule="exact"/>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人员管理制度健全性</w:t>
            </w:r>
          </w:p>
        </w:tc>
        <w:tc>
          <w:tcPr>
            <w:tcW w:w="976" w:type="dxa"/>
            <w:vAlign w:val="center"/>
          </w:tcPr>
          <w:p>
            <w:pPr>
              <w:spacing w:line="226" w:lineRule="exact"/>
              <w:jc w:val="center"/>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健全</w:t>
            </w:r>
          </w:p>
        </w:tc>
        <w:tc>
          <w:tcPr>
            <w:tcW w:w="2340" w:type="dxa"/>
            <w:vAlign w:val="center"/>
          </w:tcPr>
          <w:p>
            <w:pPr>
              <w:spacing w:line="226" w:lineRule="exact"/>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单位是否建立有健全完备的人事管理制度（2分）</w:t>
            </w:r>
          </w:p>
        </w:tc>
        <w:tc>
          <w:tcPr>
            <w:tcW w:w="2910" w:type="dxa"/>
            <w:vAlign w:val="center"/>
          </w:tcPr>
          <w:p>
            <w:pPr>
              <w:spacing w:line="226" w:lineRule="exact"/>
              <w:jc w:val="left"/>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建立完善健全的人事管理制度，得2分</w:t>
            </w:r>
          </w:p>
        </w:tc>
        <w:tc>
          <w:tcPr>
            <w:tcW w:w="617" w:type="dxa"/>
            <w:vAlign w:val="center"/>
          </w:tcPr>
          <w:p>
            <w:pPr>
              <w:spacing w:line="226" w:lineRule="exact"/>
              <w:jc w:val="center"/>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2</w:t>
            </w:r>
          </w:p>
        </w:tc>
        <w:tc>
          <w:tcPr>
            <w:tcW w:w="441" w:type="dxa"/>
            <w:vAlign w:val="center"/>
          </w:tcPr>
          <w:p>
            <w:pPr>
              <w:spacing w:line="226" w:lineRule="exact"/>
              <w:jc w:val="center"/>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42" w:type="dxa"/>
          <w:trHeight w:val="511" w:hRule="atLeast"/>
          <w:jc w:val="center"/>
        </w:trPr>
        <w:tc>
          <w:tcPr>
            <w:tcW w:w="861" w:type="dxa"/>
            <w:vMerge w:val="continue"/>
            <w:tcBorders>
              <w:left w:val="single" w:color="auto" w:sz="4" w:space="0"/>
              <w:right w:val="single" w:color="auto" w:sz="4" w:space="0"/>
            </w:tcBorders>
            <w:vAlign w:val="center"/>
          </w:tcPr>
          <w:p>
            <w:pPr>
              <w:spacing w:line="226" w:lineRule="exact"/>
              <w:jc w:val="center"/>
              <w:rPr>
                <w:rFonts w:hint="eastAsia" w:ascii="方正仿宋_GBK" w:hAnsi="方正仿宋_GBK" w:eastAsia="方正仿宋_GBK" w:cs="方正仿宋_GBK"/>
                <w:bCs/>
                <w:sz w:val="20"/>
                <w:szCs w:val="20"/>
              </w:rPr>
            </w:pPr>
          </w:p>
        </w:tc>
        <w:tc>
          <w:tcPr>
            <w:tcW w:w="919" w:type="dxa"/>
            <w:vMerge w:val="continue"/>
            <w:vAlign w:val="center"/>
          </w:tcPr>
          <w:p>
            <w:pPr>
              <w:spacing w:line="226" w:lineRule="exact"/>
              <w:jc w:val="center"/>
              <w:rPr>
                <w:rFonts w:hint="eastAsia" w:ascii="方正仿宋_GBK" w:hAnsi="方正仿宋_GBK" w:eastAsia="方正仿宋_GBK" w:cs="方正仿宋_GBK"/>
                <w:bCs/>
                <w:sz w:val="20"/>
                <w:szCs w:val="20"/>
              </w:rPr>
            </w:pPr>
          </w:p>
        </w:tc>
        <w:tc>
          <w:tcPr>
            <w:tcW w:w="1711" w:type="dxa"/>
            <w:vAlign w:val="center"/>
          </w:tcPr>
          <w:p>
            <w:pPr>
              <w:spacing w:line="226" w:lineRule="exact"/>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人员管理制度执行有效性</w:t>
            </w:r>
          </w:p>
        </w:tc>
        <w:tc>
          <w:tcPr>
            <w:tcW w:w="976" w:type="dxa"/>
            <w:vAlign w:val="center"/>
          </w:tcPr>
          <w:p>
            <w:pPr>
              <w:spacing w:line="226" w:lineRule="exact"/>
              <w:jc w:val="center"/>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有效</w:t>
            </w:r>
          </w:p>
        </w:tc>
        <w:tc>
          <w:tcPr>
            <w:tcW w:w="2340" w:type="dxa"/>
            <w:vAlign w:val="center"/>
          </w:tcPr>
          <w:p>
            <w:pPr>
              <w:spacing w:line="226" w:lineRule="exact"/>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单位人员管理制度执行是否规范、有效（2分）</w:t>
            </w:r>
          </w:p>
        </w:tc>
        <w:tc>
          <w:tcPr>
            <w:tcW w:w="2910" w:type="dxa"/>
            <w:vAlign w:val="center"/>
          </w:tcPr>
          <w:p>
            <w:pPr>
              <w:spacing w:line="226" w:lineRule="exact"/>
              <w:jc w:val="left"/>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单位人员管理制度执行规范、有效，得2分</w:t>
            </w:r>
          </w:p>
        </w:tc>
        <w:tc>
          <w:tcPr>
            <w:tcW w:w="617" w:type="dxa"/>
            <w:vAlign w:val="center"/>
          </w:tcPr>
          <w:p>
            <w:pPr>
              <w:spacing w:line="226" w:lineRule="exact"/>
              <w:jc w:val="center"/>
              <w:rPr>
                <w:rFonts w:hint="eastAsia" w:ascii="方正仿宋_GBK" w:hAnsi="方正仿宋_GBK" w:eastAsia="方正仿宋_GBK" w:cs="方正仿宋_GBK"/>
                <w:bCs/>
                <w:kern w:val="2"/>
                <w:sz w:val="20"/>
                <w:szCs w:val="20"/>
              </w:rPr>
            </w:pPr>
            <w:r>
              <w:rPr>
                <w:rFonts w:hint="eastAsia" w:ascii="方正仿宋_GBK" w:hAnsi="方正仿宋_GBK" w:eastAsia="方正仿宋_GBK" w:cs="方正仿宋_GBK"/>
                <w:bCs/>
                <w:sz w:val="20"/>
                <w:szCs w:val="20"/>
              </w:rPr>
              <w:t>2</w:t>
            </w:r>
          </w:p>
        </w:tc>
        <w:tc>
          <w:tcPr>
            <w:tcW w:w="441" w:type="dxa"/>
            <w:vAlign w:val="center"/>
          </w:tcPr>
          <w:p>
            <w:pPr>
              <w:spacing w:line="226" w:lineRule="exact"/>
              <w:jc w:val="center"/>
              <w:rPr>
                <w:rFonts w:hint="eastAsia" w:ascii="方正仿宋_GBK" w:hAnsi="方正仿宋_GBK" w:eastAsia="方正仿宋_GBK" w:cs="方正仿宋_GBK"/>
                <w:bCs/>
                <w:kern w:val="2"/>
                <w:sz w:val="20"/>
                <w:szCs w:val="20"/>
              </w:rPr>
            </w:pPr>
            <w:r>
              <w:rPr>
                <w:rFonts w:hint="eastAsia" w:ascii="方正仿宋_GBK" w:hAnsi="方正仿宋_GBK" w:eastAsia="方正仿宋_GBK" w:cs="方正仿宋_GBK"/>
                <w:bCs/>
                <w:sz w:val="20"/>
                <w:szCs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42" w:type="dxa"/>
          <w:trHeight w:val="511" w:hRule="atLeast"/>
          <w:jc w:val="center"/>
        </w:trPr>
        <w:tc>
          <w:tcPr>
            <w:tcW w:w="861" w:type="dxa"/>
            <w:vMerge w:val="continue"/>
            <w:tcBorders>
              <w:left w:val="single" w:color="auto" w:sz="4" w:space="0"/>
              <w:right w:val="single" w:color="auto" w:sz="4" w:space="0"/>
            </w:tcBorders>
            <w:vAlign w:val="center"/>
          </w:tcPr>
          <w:p>
            <w:pPr>
              <w:spacing w:line="226" w:lineRule="exact"/>
              <w:jc w:val="center"/>
              <w:rPr>
                <w:rFonts w:hint="eastAsia" w:ascii="方正仿宋_GBK" w:hAnsi="方正仿宋_GBK" w:eastAsia="方正仿宋_GBK" w:cs="方正仿宋_GBK"/>
                <w:bCs/>
                <w:sz w:val="20"/>
                <w:szCs w:val="20"/>
              </w:rPr>
            </w:pPr>
          </w:p>
        </w:tc>
        <w:tc>
          <w:tcPr>
            <w:tcW w:w="919" w:type="dxa"/>
            <w:vMerge w:val="continue"/>
            <w:vAlign w:val="center"/>
          </w:tcPr>
          <w:p>
            <w:pPr>
              <w:spacing w:line="226" w:lineRule="exact"/>
              <w:jc w:val="center"/>
              <w:rPr>
                <w:rFonts w:hint="eastAsia" w:ascii="方正仿宋_GBK" w:hAnsi="方正仿宋_GBK" w:eastAsia="方正仿宋_GBK" w:cs="方正仿宋_GBK"/>
                <w:bCs/>
                <w:sz w:val="20"/>
                <w:szCs w:val="20"/>
              </w:rPr>
            </w:pPr>
          </w:p>
        </w:tc>
        <w:tc>
          <w:tcPr>
            <w:tcW w:w="1711" w:type="dxa"/>
            <w:vAlign w:val="center"/>
          </w:tcPr>
          <w:p>
            <w:pPr>
              <w:spacing w:line="226" w:lineRule="exact"/>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在职人员控制率</w:t>
            </w:r>
          </w:p>
        </w:tc>
        <w:tc>
          <w:tcPr>
            <w:tcW w:w="976" w:type="dxa"/>
            <w:vAlign w:val="center"/>
          </w:tcPr>
          <w:p>
            <w:pPr>
              <w:spacing w:line="226" w:lineRule="exact"/>
              <w:jc w:val="center"/>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＝100%</w:t>
            </w:r>
          </w:p>
        </w:tc>
        <w:tc>
          <w:tcPr>
            <w:tcW w:w="2340" w:type="dxa"/>
            <w:vAlign w:val="center"/>
          </w:tcPr>
          <w:p>
            <w:pPr>
              <w:spacing w:line="226" w:lineRule="exact"/>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单位在职人数与核编人数是否匹配（2分）</w:t>
            </w:r>
          </w:p>
        </w:tc>
        <w:tc>
          <w:tcPr>
            <w:tcW w:w="2910" w:type="dxa"/>
            <w:vAlign w:val="center"/>
          </w:tcPr>
          <w:p>
            <w:pPr>
              <w:spacing w:line="226" w:lineRule="exact"/>
              <w:jc w:val="left"/>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单位在职人数与核编人数匹配，得2分</w:t>
            </w:r>
          </w:p>
        </w:tc>
        <w:tc>
          <w:tcPr>
            <w:tcW w:w="617" w:type="dxa"/>
            <w:vAlign w:val="center"/>
          </w:tcPr>
          <w:p>
            <w:pPr>
              <w:spacing w:line="226" w:lineRule="exact"/>
              <w:jc w:val="center"/>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2</w:t>
            </w:r>
          </w:p>
        </w:tc>
        <w:tc>
          <w:tcPr>
            <w:tcW w:w="441" w:type="dxa"/>
            <w:vAlign w:val="center"/>
          </w:tcPr>
          <w:p>
            <w:pPr>
              <w:spacing w:line="226" w:lineRule="exact"/>
              <w:jc w:val="center"/>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42" w:type="dxa"/>
          <w:trHeight w:val="511" w:hRule="atLeast"/>
          <w:jc w:val="center"/>
        </w:trPr>
        <w:tc>
          <w:tcPr>
            <w:tcW w:w="861" w:type="dxa"/>
            <w:vMerge w:val="continue"/>
            <w:tcBorders>
              <w:left w:val="single" w:color="auto" w:sz="4" w:space="0"/>
              <w:right w:val="single" w:color="auto" w:sz="4" w:space="0"/>
            </w:tcBorders>
            <w:vAlign w:val="center"/>
          </w:tcPr>
          <w:p>
            <w:pPr>
              <w:spacing w:line="226" w:lineRule="exact"/>
              <w:jc w:val="center"/>
              <w:rPr>
                <w:rFonts w:hint="eastAsia" w:ascii="方正仿宋_GBK" w:hAnsi="方正仿宋_GBK" w:eastAsia="方正仿宋_GBK" w:cs="方正仿宋_GBK"/>
                <w:bCs/>
                <w:sz w:val="20"/>
                <w:szCs w:val="20"/>
              </w:rPr>
            </w:pPr>
          </w:p>
        </w:tc>
        <w:tc>
          <w:tcPr>
            <w:tcW w:w="919" w:type="dxa"/>
            <w:vMerge w:val="restart"/>
            <w:vAlign w:val="center"/>
          </w:tcPr>
          <w:p>
            <w:pPr>
              <w:spacing w:line="226" w:lineRule="exact"/>
              <w:jc w:val="center"/>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机构建设</w:t>
            </w:r>
          </w:p>
        </w:tc>
        <w:tc>
          <w:tcPr>
            <w:tcW w:w="1711" w:type="dxa"/>
            <w:vAlign w:val="center"/>
          </w:tcPr>
          <w:p>
            <w:pPr>
              <w:spacing w:line="226" w:lineRule="exact"/>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组织建设工作及时完成率</w:t>
            </w:r>
          </w:p>
        </w:tc>
        <w:tc>
          <w:tcPr>
            <w:tcW w:w="976" w:type="dxa"/>
            <w:vAlign w:val="center"/>
          </w:tcPr>
          <w:p>
            <w:pPr>
              <w:spacing w:line="226" w:lineRule="exact"/>
              <w:jc w:val="center"/>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＝100%</w:t>
            </w:r>
          </w:p>
        </w:tc>
        <w:tc>
          <w:tcPr>
            <w:tcW w:w="2340" w:type="dxa"/>
            <w:vAlign w:val="center"/>
          </w:tcPr>
          <w:p>
            <w:pPr>
              <w:spacing w:line="226" w:lineRule="exact"/>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组织建设工作是否及时完成（2分）</w:t>
            </w:r>
          </w:p>
        </w:tc>
        <w:tc>
          <w:tcPr>
            <w:tcW w:w="2910" w:type="dxa"/>
            <w:vAlign w:val="center"/>
          </w:tcPr>
          <w:p>
            <w:pPr>
              <w:spacing w:line="226" w:lineRule="exact"/>
              <w:jc w:val="left"/>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组织建设工作能够及时完成，得2分</w:t>
            </w:r>
          </w:p>
        </w:tc>
        <w:tc>
          <w:tcPr>
            <w:tcW w:w="617" w:type="dxa"/>
            <w:vAlign w:val="center"/>
          </w:tcPr>
          <w:p>
            <w:pPr>
              <w:spacing w:line="226" w:lineRule="exact"/>
              <w:jc w:val="center"/>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2</w:t>
            </w:r>
          </w:p>
        </w:tc>
        <w:tc>
          <w:tcPr>
            <w:tcW w:w="441" w:type="dxa"/>
            <w:vAlign w:val="center"/>
          </w:tcPr>
          <w:p>
            <w:pPr>
              <w:spacing w:line="226" w:lineRule="exact"/>
              <w:jc w:val="center"/>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42" w:type="dxa"/>
          <w:trHeight w:val="511" w:hRule="atLeast"/>
          <w:jc w:val="center"/>
        </w:trPr>
        <w:tc>
          <w:tcPr>
            <w:tcW w:w="861" w:type="dxa"/>
            <w:vMerge w:val="continue"/>
            <w:tcBorders>
              <w:left w:val="single" w:color="auto" w:sz="4" w:space="0"/>
              <w:right w:val="single" w:color="auto" w:sz="4" w:space="0"/>
            </w:tcBorders>
            <w:vAlign w:val="center"/>
          </w:tcPr>
          <w:p>
            <w:pPr>
              <w:spacing w:line="226" w:lineRule="exact"/>
              <w:jc w:val="center"/>
              <w:rPr>
                <w:rFonts w:hint="eastAsia" w:ascii="方正仿宋_GBK" w:hAnsi="方正仿宋_GBK" w:eastAsia="方正仿宋_GBK" w:cs="方正仿宋_GBK"/>
                <w:bCs/>
                <w:sz w:val="20"/>
                <w:szCs w:val="20"/>
              </w:rPr>
            </w:pPr>
          </w:p>
        </w:tc>
        <w:tc>
          <w:tcPr>
            <w:tcW w:w="919" w:type="dxa"/>
            <w:vMerge w:val="continue"/>
            <w:vAlign w:val="center"/>
          </w:tcPr>
          <w:p>
            <w:pPr>
              <w:spacing w:line="226" w:lineRule="exact"/>
              <w:jc w:val="center"/>
              <w:rPr>
                <w:rFonts w:hint="eastAsia" w:ascii="方正仿宋_GBK" w:hAnsi="方正仿宋_GBK" w:eastAsia="方正仿宋_GBK" w:cs="方正仿宋_GBK"/>
                <w:bCs/>
                <w:kern w:val="2"/>
                <w:sz w:val="20"/>
                <w:szCs w:val="20"/>
              </w:rPr>
            </w:pPr>
          </w:p>
        </w:tc>
        <w:tc>
          <w:tcPr>
            <w:tcW w:w="1711" w:type="dxa"/>
            <w:vAlign w:val="center"/>
          </w:tcPr>
          <w:p>
            <w:pPr>
              <w:spacing w:line="226" w:lineRule="exact"/>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业务学习与培训及时完成率</w:t>
            </w:r>
          </w:p>
        </w:tc>
        <w:tc>
          <w:tcPr>
            <w:tcW w:w="976" w:type="dxa"/>
            <w:vAlign w:val="center"/>
          </w:tcPr>
          <w:p>
            <w:pPr>
              <w:spacing w:line="226" w:lineRule="exact"/>
              <w:jc w:val="center"/>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＝100%</w:t>
            </w:r>
          </w:p>
        </w:tc>
        <w:tc>
          <w:tcPr>
            <w:tcW w:w="2340" w:type="dxa"/>
            <w:vAlign w:val="center"/>
          </w:tcPr>
          <w:p>
            <w:pPr>
              <w:spacing w:line="226" w:lineRule="exact"/>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业务学习与培训是否及时完成（2分）</w:t>
            </w:r>
          </w:p>
        </w:tc>
        <w:tc>
          <w:tcPr>
            <w:tcW w:w="2910" w:type="dxa"/>
            <w:vAlign w:val="center"/>
          </w:tcPr>
          <w:p>
            <w:pPr>
              <w:spacing w:line="226" w:lineRule="exact"/>
              <w:jc w:val="left"/>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业务学习与培训及时完成率，得2分</w:t>
            </w:r>
          </w:p>
        </w:tc>
        <w:tc>
          <w:tcPr>
            <w:tcW w:w="617" w:type="dxa"/>
            <w:vAlign w:val="center"/>
          </w:tcPr>
          <w:p>
            <w:pPr>
              <w:spacing w:line="226" w:lineRule="exact"/>
              <w:jc w:val="center"/>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2</w:t>
            </w:r>
          </w:p>
        </w:tc>
        <w:tc>
          <w:tcPr>
            <w:tcW w:w="441" w:type="dxa"/>
            <w:vAlign w:val="center"/>
          </w:tcPr>
          <w:p>
            <w:pPr>
              <w:spacing w:line="226" w:lineRule="exact"/>
              <w:jc w:val="center"/>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42" w:type="dxa"/>
          <w:trHeight w:val="511" w:hRule="atLeast"/>
          <w:jc w:val="center"/>
        </w:trPr>
        <w:tc>
          <w:tcPr>
            <w:tcW w:w="861" w:type="dxa"/>
            <w:vMerge w:val="continue"/>
            <w:tcBorders>
              <w:left w:val="single" w:color="auto" w:sz="4" w:space="0"/>
              <w:right w:val="single" w:color="auto" w:sz="4" w:space="0"/>
            </w:tcBorders>
            <w:vAlign w:val="center"/>
          </w:tcPr>
          <w:p>
            <w:pPr>
              <w:spacing w:line="226" w:lineRule="exact"/>
              <w:jc w:val="center"/>
              <w:rPr>
                <w:rFonts w:hint="eastAsia" w:ascii="方正仿宋_GBK" w:hAnsi="方正仿宋_GBK" w:eastAsia="方正仿宋_GBK" w:cs="方正仿宋_GBK"/>
                <w:bCs/>
                <w:sz w:val="20"/>
                <w:szCs w:val="20"/>
              </w:rPr>
            </w:pPr>
          </w:p>
        </w:tc>
        <w:tc>
          <w:tcPr>
            <w:tcW w:w="919" w:type="dxa"/>
            <w:vMerge w:val="continue"/>
            <w:vAlign w:val="center"/>
          </w:tcPr>
          <w:p>
            <w:pPr>
              <w:spacing w:line="226" w:lineRule="exact"/>
              <w:jc w:val="center"/>
              <w:rPr>
                <w:rFonts w:hint="eastAsia" w:ascii="方正仿宋_GBK" w:hAnsi="方正仿宋_GBK" w:eastAsia="方正仿宋_GBK" w:cs="方正仿宋_GBK"/>
                <w:bCs/>
                <w:kern w:val="2"/>
                <w:sz w:val="20"/>
                <w:szCs w:val="20"/>
              </w:rPr>
            </w:pPr>
          </w:p>
        </w:tc>
        <w:tc>
          <w:tcPr>
            <w:tcW w:w="1711" w:type="dxa"/>
            <w:vAlign w:val="center"/>
          </w:tcPr>
          <w:p>
            <w:pPr>
              <w:spacing w:line="226" w:lineRule="exact"/>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纪检监察工作有效性</w:t>
            </w:r>
          </w:p>
        </w:tc>
        <w:tc>
          <w:tcPr>
            <w:tcW w:w="976" w:type="dxa"/>
            <w:vAlign w:val="center"/>
          </w:tcPr>
          <w:p>
            <w:pPr>
              <w:spacing w:line="226" w:lineRule="exact"/>
              <w:jc w:val="center"/>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有效</w:t>
            </w:r>
          </w:p>
        </w:tc>
        <w:tc>
          <w:tcPr>
            <w:tcW w:w="2340" w:type="dxa"/>
            <w:vAlign w:val="center"/>
          </w:tcPr>
          <w:p>
            <w:pPr>
              <w:spacing w:line="226" w:lineRule="exact"/>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本单位纪检监察工作是否有效（2分）</w:t>
            </w:r>
          </w:p>
        </w:tc>
        <w:tc>
          <w:tcPr>
            <w:tcW w:w="2910" w:type="dxa"/>
            <w:vAlign w:val="center"/>
          </w:tcPr>
          <w:p>
            <w:pPr>
              <w:spacing w:line="226" w:lineRule="exact"/>
              <w:jc w:val="left"/>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本单位纪检监察工作高效有序进行，得2分</w:t>
            </w:r>
          </w:p>
        </w:tc>
        <w:tc>
          <w:tcPr>
            <w:tcW w:w="617" w:type="dxa"/>
            <w:vAlign w:val="center"/>
          </w:tcPr>
          <w:p>
            <w:pPr>
              <w:spacing w:line="226" w:lineRule="exact"/>
              <w:jc w:val="center"/>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2</w:t>
            </w:r>
          </w:p>
        </w:tc>
        <w:tc>
          <w:tcPr>
            <w:tcW w:w="441" w:type="dxa"/>
            <w:vAlign w:val="center"/>
          </w:tcPr>
          <w:p>
            <w:pPr>
              <w:spacing w:line="226" w:lineRule="exact"/>
              <w:jc w:val="center"/>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42" w:type="dxa"/>
          <w:trHeight w:val="511" w:hRule="atLeast"/>
          <w:jc w:val="center"/>
        </w:trPr>
        <w:tc>
          <w:tcPr>
            <w:tcW w:w="861" w:type="dxa"/>
            <w:vAlign w:val="center"/>
          </w:tcPr>
          <w:p>
            <w:pPr>
              <w:spacing w:line="226" w:lineRule="exact"/>
              <w:jc w:val="center"/>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履职(10)</w:t>
            </w:r>
          </w:p>
        </w:tc>
        <w:tc>
          <w:tcPr>
            <w:tcW w:w="919" w:type="dxa"/>
            <w:vAlign w:val="center"/>
          </w:tcPr>
          <w:p>
            <w:pPr>
              <w:spacing w:line="226" w:lineRule="exact"/>
              <w:jc w:val="center"/>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交通安全法制教育</w:t>
            </w:r>
          </w:p>
        </w:tc>
        <w:tc>
          <w:tcPr>
            <w:tcW w:w="1711" w:type="dxa"/>
            <w:vAlign w:val="center"/>
          </w:tcPr>
          <w:p>
            <w:pPr>
              <w:spacing w:line="226" w:lineRule="exact"/>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交通安全法制教育普及程度</w:t>
            </w:r>
          </w:p>
        </w:tc>
        <w:tc>
          <w:tcPr>
            <w:tcW w:w="976" w:type="dxa"/>
            <w:vAlign w:val="center"/>
          </w:tcPr>
          <w:p>
            <w:pPr>
              <w:spacing w:line="226" w:lineRule="exact"/>
              <w:jc w:val="center"/>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较高</w:t>
            </w:r>
          </w:p>
        </w:tc>
        <w:tc>
          <w:tcPr>
            <w:tcW w:w="2340" w:type="dxa"/>
            <w:vAlign w:val="center"/>
          </w:tcPr>
          <w:p>
            <w:pPr>
              <w:spacing w:line="226" w:lineRule="exact"/>
              <w:rPr>
                <w:rFonts w:hint="eastAsia" w:ascii="方正仿宋_GBK" w:hAnsi="方正仿宋_GBK" w:eastAsia="方正仿宋_GBK" w:cs="方正仿宋_GBK"/>
                <w:b/>
                <w:sz w:val="20"/>
                <w:szCs w:val="20"/>
              </w:rPr>
            </w:pPr>
            <w:r>
              <w:rPr>
                <w:rFonts w:hint="eastAsia" w:ascii="方正仿宋_GBK" w:hAnsi="方正仿宋_GBK" w:eastAsia="方正仿宋_GBK" w:cs="方正仿宋_GBK"/>
                <w:bCs/>
                <w:sz w:val="20"/>
                <w:szCs w:val="20"/>
              </w:rPr>
              <w:t>交通安全法制教育普及程度是否达到较高标准（10分）</w:t>
            </w:r>
          </w:p>
        </w:tc>
        <w:tc>
          <w:tcPr>
            <w:tcW w:w="2910" w:type="dxa"/>
            <w:vAlign w:val="center"/>
          </w:tcPr>
          <w:p>
            <w:pPr>
              <w:spacing w:line="226" w:lineRule="exact"/>
              <w:jc w:val="left"/>
              <w:rPr>
                <w:rFonts w:hint="eastAsia" w:ascii="方正仿宋_GBK" w:hAnsi="方正仿宋_GBK" w:eastAsia="方正仿宋_GBK" w:cs="方正仿宋_GBK"/>
                <w:bCs/>
                <w:color w:val="FF0000"/>
                <w:sz w:val="20"/>
                <w:szCs w:val="20"/>
              </w:rPr>
            </w:pPr>
            <w:r>
              <w:rPr>
                <w:rFonts w:hint="eastAsia" w:ascii="方正仿宋_GBK" w:hAnsi="方正仿宋_GBK" w:eastAsia="方正仿宋_GBK" w:cs="方正仿宋_GBK"/>
                <w:bCs/>
                <w:sz w:val="20"/>
                <w:szCs w:val="20"/>
              </w:rPr>
              <w:t>单位开展交通安全法制教育普及率达到较高水平，得10分</w:t>
            </w:r>
          </w:p>
        </w:tc>
        <w:tc>
          <w:tcPr>
            <w:tcW w:w="617" w:type="dxa"/>
            <w:vAlign w:val="center"/>
          </w:tcPr>
          <w:p>
            <w:pPr>
              <w:spacing w:line="226" w:lineRule="exact"/>
              <w:jc w:val="center"/>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10</w:t>
            </w:r>
          </w:p>
        </w:tc>
        <w:tc>
          <w:tcPr>
            <w:tcW w:w="441" w:type="dxa"/>
            <w:vAlign w:val="center"/>
          </w:tcPr>
          <w:p>
            <w:pPr>
              <w:spacing w:line="226" w:lineRule="exact"/>
              <w:jc w:val="center"/>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42" w:type="dxa"/>
          <w:trHeight w:val="511" w:hRule="atLeast"/>
          <w:jc w:val="center"/>
        </w:trPr>
        <w:tc>
          <w:tcPr>
            <w:tcW w:w="861" w:type="dxa"/>
            <w:vAlign w:val="center"/>
          </w:tcPr>
          <w:p>
            <w:pPr>
              <w:spacing w:line="226" w:lineRule="exact"/>
              <w:jc w:val="center"/>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效益指标(10)</w:t>
            </w:r>
          </w:p>
        </w:tc>
        <w:tc>
          <w:tcPr>
            <w:tcW w:w="919" w:type="dxa"/>
            <w:vAlign w:val="center"/>
          </w:tcPr>
          <w:p>
            <w:pPr>
              <w:spacing w:line="226" w:lineRule="exact"/>
              <w:jc w:val="center"/>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社会效益</w:t>
            </w:r>
          </w:p>
        </w:tc>
        <w:tc>
          <w:tcPr>
            <w:tcW w:w="1711" w:type="dxa"/>
            <w:vAlign w:val="center"/>
          </w:tcPr>
          <w:p>
            <w:pPr>
              <w:spacing w:line="226" w:lineRule="exact"/>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交通安全法制教育对交通安全影响程度</w:t>
            </w:r>
          </w:p>
        </w:tc>
        <w:tc>
          <w:tcPr>
            <w:tcW w:w="976" w:type="dxa"/>
            <w:vAlign w:val="center"/>
          </w:tcPr>
          <w:p>
            <w:pPr>
              <w:spacing w:line="226" w:lineRule="exact"/>
              <w:jc w:val="center"/>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较高</w:t>
            </w:r>
          </w:p>
        </w:tc>
        <w:tc>
          <w:tcPr>
            <w:tcW w:w="2340" w:type="dxa"/>
            <w:vAlign w:val="center"/>
          </w:tcPr>
          <w:p>
            <w:pPr>
              <w:spacing w:line="226" w:lineRule="exact"/>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交通安全法制教育对交通安全影响程度是否达到较高标准（10分）</w:t>
            </w:r>
          </w:p>
        </w:tc>
        <w:tc>
          <w:tcPr>
            <w:tcW w:w="2910" w:type="dxa"/>
            <w:vAlign w:val="center"/>
          </w:tcPr>
          <w:p>
            <w:pPr>
              <w:spacing w:line="226" w:lineRule="exact"/>
              <w:jc w:val="left"/>
              <w:rPr>
                <w:rFonts w:hint="eastAsia" w:ascii="方正仿宋_GBK" w:hAnsi="方正仿宋_GBK" w:eastAsia="方正仿宋_GBK" w:cs="方正仿宋_GBK"/>
                <w:bCs/>
                <w:color w:val="FF0000"/>
                <w:sz w:val="20"/>
                <w:szCs w:val="20"/>
              </w:rPr>
            </w:pPr>
            <w:r>
              <w:rPr>
                <w:rFonts w:hint="eastAsia" w:ascii="方正仿宋_GBK" w:hAnsi="方正仿宋_GBK" w:eastAsia="方正仿宋_GBK" w:cs="方正仿宋_GBK"/>
                <w:bCs/>
                <w:sz w:val="20"/>
                <w:szCs w:val="20"/>
              </w:rPr>
              <w:t>交通安全法制教育使交通安全风险有所降低，影响程度较高，得10分</w:t>
            </w:r>
          </w:p>
        </w:tc>
        <w:tc>
          <w:tcPr>
            <w:tcW w:w="617" w:type="dxa"/>
            <w:vAlign w:val="center"/>
          </w:tcPr>
          <w:p>
            <w:pPr>
              <w:spacing w:line="226" w:lineRule="exact"/>
              <w:jc w:val="center"/>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10</w:t>
            </w:r>
          </w:p>
        </w:tc>
        <w:tc>
          <w:tcPr>
            <w:tcW w:w="441" w:type="dxa"/>
            <w:vAlign w:val="center"/>
          </w:tcPr>
          <w:p>
            <w:pPr>
              <w:spacing w:line="226" w:lineRule="exact"/>
              <w:jc w:val="center"/>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42" w:type="dxa"/>
          <w:trHeight w:val="511" w:hRule="atLeast"/>
          <w:jc w:val="center"/>
        </w:trPr>
        <w:tc>
          <w:tcPr>
            <w:tcW w:w="861" w:type="dxa"/>
            <w:vAlign w:val="center"/>
          </w:tcPr>
          <w:p>
            <w:pPr>
              <w:spacing w:line="226" w:lineRule="exact"/>
              <w:jc w:val="center"/>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满意度指标(10)</w:t>
            </w:r>
          </w:p>
        </w:tc>
        <w:tc>
          <w:tcPr>
            <w:tcW w:w="919" w:type="dxa"/>
            <w:vAlign w:val="center"/>
          </w:tcPr>
          <w:p>
            <w:pPr>
              <w:spacing w:line="226" w:lineRule="exact"/>
              <w:jc w:val="center"/>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服务对象满意度</w:t>
            </w:r>
          </w:p>
        </w:tc>
        <w:tc>
          <w:tcPr>
            <w:tcW w:w="1711" w:type="dxa"/>
            <w:vAlign w:val="center"/>
          </w:tcPr>
          <w:p>
            <w:pPr>
              <w:spacing w:line="226" w:lineRule="exact"/>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社会对交通安全法制教育满意度</w:t>
            </w:r>
          </w:p>
        </w:tc>
        <w:tc>
          <w:tcPr>
            <w:tcW w:w="976" w:type="dxa"/>
            <w:vAlign w:val="center"/>
          </w:tcPr>
          <w:p>
            <w:pPr>
              <w:spacing w:line="226" w:lineRule="exact"/>
              <w:jc w:val="center"/>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较高</w:t>
            </w:r>
          </w:p>
        </w:tc>
        <w:tc>
          <w:tcPr>
            <w:tcW w:w="2340" w:type="dxa"/>
            <w:vAlign w:val="center"/>
          </w:tcPr>
          <w:p>
            <w:pPr>
              <w:spacing w:line="226" w:lineRule="exact"/>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社会对交通安全法制教育满意度是否达到较高标准（10分）</w:t>
            </w:r>
          </w:p>
        </w:tc>
        <w:tc>
          <w:tcPr>
            <w:tcW w:w="2910" w:type="dxa"/>
            <w:vAlign w:val="center"/>
          </w:tcPr>
          <w:p>
            <w:pPr>
              <w:spacing w:line="226" w:lineRule="exact"/>
              <w:jc w:val="left"/>
              <w:rPr>
                <w:rFonts w:hint="eastAsia" w:ascii="方正仿宋_GBK" w:hAnsi="方正仿宋_GBK" w:eastAsia="方正仿宋_GBK" w:cs="方正仿宋_GBK"/>
                <w:bCs/>
                <w:color w:val="FF0000"/>
                <w:sz w:val="20"/>
                <w:szCs w:val="20"/>
              </w:rPr>
            </w:pPr>
            <w:r>
              <w:rPr>
                <w:rFonts w:hint="eastAsia" w:ascii="方正仿宋_GBK" w:hAnsi="方正仿宋_GBK" w:eastAsia="方正仿宋_GBK" w:cs="方正仿宋_GBK"/>
                <w:bCs/>
                <w:sz w:val="20"/>
                <w:szCs w:val="20"/>
              </w:rPr>
              <w:t>抽样调研显示社会对交通安全法制教育满意度较高，得10分</w:t>
            </w:r>
          </w:p>
        </w:tc>
        <w:tc>
          <w:tcPr>
            <w:tcW w:w="617" w:type="dxa"/>
            <w:vAlign w:val="center"/>
          </w:tcPr>
          <w:p>
            <w:pPr>
              <w:spacing w:line="226" w:lineRule="exact"/>
              <w:jc w:val="center"/>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10</w:t>
            </w:r>
          </w:p>
        </w:tc>
        <w:tc>
          <w:tcPr>
            <w:tcW w:w="441" w:type="dxa"/>
            <w:vAlign w:val="center"/>
          </w:tcPr>
          <w:p>
            <w:pPr>
              <w:spacing w:line="226" w:lineRule="exact"/>
              <w:jc w:val="center"/>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42" w:type="dxa"/>
          <w:trHeight w:val="511" w:hRule="atLeast"/>
          <w:jc w:val="center"/>
        </w:trPr>
        <w:tc>
          <w:tcPr>
            <w:tcW w:w="9717" w:type="dxa"/>
            <w:gridSpan w:val="6"/>
            <w:vAlign w:val="center"/>
          </w:tcPr>
          <w:p>
            <w:pPr>
              <w:spacing w:line="226" w:lineRule="exact"/>
              <w:jc w:val="center"/>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合计</w:t>
            </w:r>
          </w:p>
        </w:tc>
        <w:tc>
          <w:tcPr>
            <w:tcW w:w="617" w:type="dxa"/>
            <w:vAlign w:val="center"/>
          </w:tcPr>
          <w:p>
            <w:pPr>
              <w:spacing w:line="226" w:lineRule="exact"/>
              <w:jc w:val="center"/>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100</w:t>
            </w:r>
          </w:p>
        </w:tc>
        <w:tc>
          <w:tcPr>
            <w:tcW w:w="441" w:type="dxa"/>
            <w:vAlign w:val="center"/>
          </w:tcPr>
          <w:p>
            <w:pPr>
              <w:spacing w:line="226" w:lineRule="exact"/>
              <w:jc w:val="center"/>
              <w:rPr>
                <w:rFonts w:hint="eastAsia" w:ascii="方正仿宋_GBK" w:hAnsi="方正仿宋_GBK" w:eastAsia="方正仿宋_GBK" w:cs="方正仿宋_GBK"/>
                <w:bCs/>
                <w:sz w:val="20"/>
                <w:szCs w:val="20"/>
              </w:rPr>
            </w:pPr>
            <w:r>
              <w:rPr>
                <w:rFonts w:hint="eastAsia" w:ascii="方正仿宋_GBK" w:hAnsi="方正仿宋_GBK" w:eastAsia="方正仿宋_GBK" w:cs="方正仿宋_GBK"/>
                <w:bCs/>
                <w:sz w:val="20"/>
                <w:szCs w:val="20"/>
              </w:rPr>
              <w:t>99</w:t>
            </w:r>
          </w:p>
        </w:tc>
      </w:tr>
    </w:tbl>
    <w:p>
      <w:pP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modern"/>
    <w:pitch w:val="default"/>
    <w:sig w:usb0="E00002FF" w:usb1="400004FF" w:usb2="00000000" w:usb3="00000000" w:csb0="2000019F" w:csb1="00000000"/>
  </w:font>
  <w:font w:name="Calibri">
    <w:panose1 w:val="020F0502020204030204"/>
    <w:charset w:val="00"/>
    <w:family w:val="decorative"/>
    <w:pitch w:val="default"/>
    <w:sig w:usb0="E10002FF" w:usb1="4000ACFF" w:usb2="00000009" w:usb3="00000000" w:csb0="2000019F" w:csb1="00000000"/>
  </w:font>
  <w:font w:name="Arial">
    <w:panose1 w:val="020B0604020202020204"/>
    <w:charset w:val="01"/>
    <w:family w:val="decorative"/>
    <w:pitch w:val="default"/>
    <w:sig w:usb0="E0002AFF" w:usb1="C0007843" w:usb2="00000009" w:usb3="00000000" w:csb0="400001FF" w:csb1="FFFF0000"/>
  </w:font>
  <w:font w:name="Courier New">
    <w:panose1 w:val="02070309020205020404"/>
    <w:charset w:val="01"/>
    <w:family w:val="swiss"/>
    <w:pitch w:val="default"/>
    <w:sig w:usb0="E0002AFF" w:usb1="C0007843" w:usb2="00000009" w:usb3="00000000" w:csb0="400001FF" w:csb1="FFFF0000"/>
  </w:font>
  <w:font w:name="Symbol">
    <w:panose1 w:val="05050102010706020507"/>
    <w:charset w:val="02"/>
    <w:family w:val="modern"/>
    <w:pitch w:val="default"/>
    <w:sig w:usb0="00000000" w:usb1="00000000" w:usb2="00000000" w:usb3="00000000" w:csb0="80000000" w:csb1="00000000"/>
  </w:font>
  <w:font w:name="Calibri Light">
    <w:altName w:val="Calibri"/>
    <w:panose1 w:val="020F0302020204030204"/>
    <w:charset w:val="00"/>
    <w:family w:val="auto"/>
    <w:pitch w:val="default"/>
    <w:sig w:usb0="00000000" w:usb1="00000000" w:usb2="00000000" w:usb3="00000000" w:csb0="2000019F" w:csb1="00000000"/>
  </w:font>
  <w:font w:name="仿宋">
    <w:panose1 w:val="02010609060101010101"/>
    <w:charset w:val="86"/>
    <w:family w:val="swiss"/>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DFSongGB-W5">
    <w:altName w:val="Times New Roman"/>
    <w:panose1 w:val="00000000000000000000"/>
    <w:charset w:val="00"/>
    <w:family w:val="modern"/>
    <w:pitch w:val="default"/>
    <w:sig w:usb0="00000000" w:usb1="00000000" w:usb2="00000000" w:usb3="00000000" w:csb0="00000000" w:csb1="00000000"/>
  </w:font>
  <w:font w:name="Calibri">
    <w:panose1 w:val="020F0502020204030204"/>
    <w:charset w:val="00"/>
    <w:family w:val="auto"/>
    <w:pitch w:val="default"/>
    <w:sig w:usb0="E10002FF" w:usb1="4000ACFF" w:usb2="00000009"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20"/>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110790982">
    <w:nsid w:val="069A8946"/>
    <w:multiLevelType w:val="singleLevel"/>
    <w:tmpl w:val="069A8946"/>
    <w:lvl w:ilvl="0" w:tentative="1">
      <w:start w:val="1"/>
      <w:numFmt w:val="decimal"/>
      <w:suff w:val="nothing"/>
      <w:lvlText w:val="（%1）"/>
      <w:lvlJc w:val="left"/>
    </w:lvl>
  </w:abstractNum>
  <w:num w:numId="1">
    <w:abstractNumId w:val="11079098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4672B9"/>
    <w:rsid w:val="0073392C"/>
    <w:rsid w:val="010827C0"/>
    <w:rsid w:val="018C1643"/>
    <w:rsid w:val="01C506B1"/>
    <w:rsid w:val="02D432A2"/>
    <w:rsid w:val="039E1993"/>
    <w:rsid w:val="046462C2"/>
    <w:rsid w:val="05A3035A"/>
    <w:rsid w:val="05A54A82"/>
    <w:rsid w:val="065A3ABE"/>
    <w:rsid w:val="068F128E"/>
    <w:rsid w:val="06AE3E0A"/>
    <w:rsid w:val="06CB49BC"/>
    <w:rsid w:val="088017D6"/>
    <w:rsid w:val="09216B15"/>
    <w:rsid w:val="0A171A87"/>
    <w:rsid w:val="0B445583"/>
    <w:rsid w:val="0C915D60"/>
    <w:rsid w:val="0D906017"/>
    <w:rsid w:val="0E7476E7"/>
    <w:rsid w:val="1010343F"/>
    <w:rsid w:val="10613C9B"/>
    <w:rsid w:val="14B20F69"/>
    <w:rsid w:val="14C111AC"/>
    <w:rsid w:val="14F4591F"/>
    <w:rsid w:val="152A5338"/>
    <w:rsid w:val="15613ACF"/>
    <w:rsid w:val="156A35F2"/>
    <w:rsid w:val="16557DFE"/>
    <w:rsid w:val="16E573D4"/>
    <w:rsid w:val="17113972"/>
    <w:rsid w:val="1731208C"/>
    <w:rsid w:val="17E23913"/>
    <w:rsid w:val="18910E95"/>
    <w:rsid w:val="18EF453A"/>
    <w:rsid w:val="197C777C"/>
    <w:rsid w:val="19BB266E"/>
    <w:rsid w:val="1B76736E"/>
    <w:rsid w:val="1DAB6F39"/>
    <w:rsid w:val="1DBE44DB"/>
    <w:rsid w:val="1E2E7F4C"/>
    <w:rsid w:val="1E7A5314"/>
    <w:rsid w:val="1F4153C3"/>
    <w:rsid w:val="1F446C62"/>
    <w:rsid w:val="1F60465B"/>
    <w:rsid w:val="202F346E"/>
    <w:rsid w:val="20566C4C"/>
    <w:rsid w:val="21613AFB"/>
    <w:rsid w:val="216435EB"/>
    <w:rsid w:val="216E7FC6"/>
    <w:rsid w:val="219C4B33"/>
    <w:rsid w:val="220D5A31"/>
    <w:rsid w:val="228C4BA7"/>
    <w:rsid w:val="238166D6"/>
    <w:rsid w:val="23C144DE"/>
    <w:rsid w:val="24B04153"/>
    <w:rsid w:val="24D726DF"/>
    <w:rsid w:val="24F46A34"/>
    <w:rsid w:val="25916979"/>
    <w:rsid w:val="26151358"/>
    <w:rsid w:val="26215F4F"/>
    <w:rsid w:val="278247CB"/>
    <w:rsid w:val="2ABF7AE4"/>
    <w:rsid w:val="2ADC0696"/>
    <w:rsid w:val="2CE26E1E"/>
    <w:rsid w:val="2D662499"/>
    <w:rsid w:val="2E8B665B"/>
    <w:rsid w:val="2E9E7DF9"/>
    <w:rsid w:val="2EB060C2"/>
    <w:rsid w:val="2F320885"/>
    <w:rsid w:val="2FC75471"/>
    <w:rsid w:val="316136A3"/>
    <w:rsid w:val="3200233A"/>
    <w:rsid w:val="32317519"/>
    <w:rsid w:val="324C6101"/>
    <w:rsid w:val="32601BAD"/>
    <w:rsid w:val="3268280F"/>
    <w:rsid w:val="32F10A57"/>
    <w:rsid w:val="32FA5B5D"/>
    <w:rsid w:val="33545CD9"/>
    <w:rsid w:val="34EE16F2"/>
    <w:rsid w:val="35011425"/>
    <w:rsid w:val="35D54660"/>
    <w:rsid w:val="389C3213"/>
    <w:rsid w:val="396226AE"/>
    <w:rsid w:val="3A0379ED"/>
    <w:rsid w:val="3B7B47DC"/>
    <w:rsid w:val="3D314871"/>
    <w:rsid w:val="3D94095C"/>
    <w:rsid w:val="3E3A59A8"/>
    <w:rsid w:val="3EB92D70"/>
    <w:rsid w:val="3F20694C"/>
    <w:rsid w:val="41652D3C"/>
    <w:rsid w:val="42723962"/>
    <w:rsid w:val="42ED2FE9"/>
    <w:rsid w:val="448E25A9"/>
    <w:rsid w:val="449B0822"/>
    <w:rsid w:val="44CB55AC"/>
    <w:rsid w:val="458D0AB3"/>
    <w:rsid w:val="45F621B4"/>
    <w:rsid w:val="460E39A2"/>
    <w:rsid w:val="463D02E0"/>
    <w:rsid w:val="4A3852B5"/>
    <w:rsid w:val="4BB9615E"/>
    <w:rsid w:val="4C1A4723"/>
    <w:rsid w:val="4CA54934"/>
    <w:rsid w:val="4CFE558A"/>
    <w:rsid w:val="503E30D6"/>
    <w:rsid w:val="50E81293"/>
    <w:rsid w:val="51532BB1"/>
    <w:rsid w:val="51B66C9C"/>
    <w:rsid w:val="520B0F7C"/>
    <w:rsid w:val="53B042EA"/>
    <w:rsid w:val="54A93F9A"/>
    <w:rsid w:val="550667B5"/>
    <w:rsid w:val="55347222"/>
    <w:rsid w:val="55733821"/>
    <w:rsid w:val="55E02539"/>
    <w:rsid w:val="573064A0"/>
    <w:rsid w:val="57323268"/>
    <w:rsid w:val="57CD0BA5"/>
    <w:rsid w:val="5A615AEF"/>
    <w:rsid w:val="5AD3266C"/>
    <w:rsid w:val="5C846314"/>
    <w:rsid w:val="5D731EE5"/>
    <w:rsid w:val="5E183CE4"/>
    <w:rsid w:val="5E8E5228"/>
    <w:rsid w:val="5F2150AD"/>
    <w:rsid w:val="5F775CBC"/>
    <w:rsid w:val="5F9A5E4E"/>
    <w:rsid w:val="60957443"/>
    <w:rsid w:val="60D12A29"/>
    <w:rsid w:val="61B03707"/>
    <w:rsid w:val="625B3673"/>
    <w:rsid w:val="626D15F8"/>
    <w:rsid w:val="62C751AC"/>
    <w:rsid w:val="64D836A1"/>
    <w:rsid w:val="655D7F81"/>
    <w:rsid w:val="65AE61B0"/>
    <w:rsid w:val="65EC301E"/>
    <w:rsid w:val="661F70AE"/>
    <w:rsid w:val="669B4986"/>
    <w:rsid w:val="67E90FA6"/>
    <w:rsid w:val="69B55D5F"/>
    <w:rsid w:val="6ABD1C8D"/>
    <w:rsid w:val="6C0C1E82"/>
    <w:rsid w:val="6C787517"/>
    <w:rsid w:val="6E391A11"/>
    <w:rsid w:val="6E4259CD"/>
    <w:rsid w:val="6E4C47B8"/>
    <w:rsid w:val="6FDE58E3"/>
    <w:rsid w:val="713F23B2"/>
    <w:rsid w:val="71B50A2A"/>
    <w:rsid w:val="72987FCC"/>
    <w:rsid w:val="72EC6569"/>
    <w:rsid w:val="73092C77"/>
    <w:rsid w:val="73700F48"/>
    <w:rsid w:val="74B15375"/>
    <w:rsid w:val="75461650"/>
    <w:rsid w:val="7709593C"/>
    <w:rsid w:val="77640DC4"/>
    <w:rsid w:val="777F5BFE"/>
    <w:rsid w:val="77E65C7D"/>
    <w:rsid w:val="77ED2B68"/>
    <w:rsid w:val="788B412F"/>
    <w:rsid w:val="79275893"/>
    <w:rsid w:val="79DC5E13"/>
    <w:rsid w:val="7A1C14E2"/>
    <w:rsid w:val="7A6C4E6E"/>
    <w:rsid w:val="7AF1296F"/>
    <w:rsid w:val="7B2E771F"/>
    <w:rsid w:val="7C3C2310"/>
    <w:rsid w:val="7C4C5E4A"/>
    <w:rsid w:val="7D8E6B9B"/>
    <w:rsid w:val="7DCA0BC8"/>
    <w:rsid w:val="7EF173E1"/>
    <w:rsid w:val="7F710522"/>
    <w:rsid w:val="7FBF303C"/>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semiHidden="0" w:name="heading 6"/>
    <w:lsdException w:qFormat="1" w:uiPriority="0" w:semiHidden="0" w:name="heading 7"/>
    <w:lsdException w:qFormat="1" w:uiPriority="0" w:semiHidden="0" w:name="heading 8"/>
    <w:lsdException w:qFormat="1"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qFormat="1"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after="20" w:afterLines="20" w:line="288" w:lineRule="auto"/>
      <w:jc w:val="both"/>
    </w:pPr>
    <w:rPr>
      <w:rFonts w:asciiTheme="minorAscii" w:hAnsiTheme="minorAscii" w:eastAsiaTheme="minorEastAsia" w:cstheme="minorBidi"/>
      <w:kern w:val="2"/>
      <w:sz w:val="24"/>
      <w:szCs w:val="24"/>
      <w:lang w:val="en-US" w:eastAsia="zh-CN" w:bidi="ar-SA"/>
    </w:rPr>
  </w:style>
  <w:style w:type="paragraph" w:styleId="2">
    <w:name w:val="heading 1"/>
    <w:basedOn w:val="1"/>
    <w:next w:val="1"/>
    <w:qFormat/>
    <w:uiPriority w:val="0"/>
    <w:pPr>
      <w:keepNext/>
      <w:keepLines/>
      <w:adjustRightInd w:val="0"/>
      <w:snapToGrid w:val="0"/>
      <w:spacing w:beforeLines="0" w:beforeAutospacing="0" w:after="80" w:afterLines="80" w:afterAutospacing="0" w:line="288" w:lineRule="auto"/>
      <w:outlineLvl w:val="0"/>
    </w:pPr>
    <w:rPr>
      <w:b/>
      <w:bCs/>
      <w:kern w:val="44"/>
      <w:sz w:val="36"/>
      <w:szCs w:val="36"/>
    </w:rPr>
  </w:style>
  <w:style w:type="paragraph" w:styleId="3">
    <w:name w:val="heading 2"/>
    <w:basedOn w:val="1"/>
    <w:next w:val="1"/>
    <w:unhideWhenUsed/>
    <w:qFormat/>
    <w:uiPriority w:val="0"/>
    <w:pPr>
      <w:keepNext/>
      <w:keepLines/>
      <w:spacing w:before="120" w:beforeLines="120" w:beforeAutospacing="0" w:after="80" w:afterLines="80" w:afterAutospacing="0" w:line="288" w:lineRule="auto"/>
      <w:outlineLvl w:val="1"/>
    </w:pPr>
    <w:rPr>
      <w:b/>
      <w:bCs/>
      <w:sz w:val="32"/>
      <w:szCs w:val="32"/>
    </w:rPr>
  </w:style>
  <w:style w:type="paragraph" w:styleId="4">
    <w:name w:val="heading 3"/>
    <w:basedOn w:val="1"/>
    <w:next w:val="1"/>
    <w:unhideWhenUsed/>
    <w:qFormat/>
    <w:uiPriority w:val="0"/>
    <w:pPr>
      <w:keepNext/>
      <w:keepLines/>
      <w:spacing w:before="120" w:beforeLines="120" w:beforeAutospacing="0" w:after="80" w:afterLines="80" w:afterAutospacing="0" w:line="288" w:lineRule="auto"/>
      <w:outlineLvl w:val="2"/>
    </w:pPr>
    <w:rPr>
      <w:b/>
      <w:bCs/>
      <w:sz w:val="30"/>
      <w:szCs w:val="30"/>
    </w:rPr>
  </w:style>
  <w:style w:type="paragraph" w:styleId="5">
    <w:name w:val="heading 4"/>
    <w:basedOn w:val="1"/>
    <w:next w:val="1"/>
    <w:unhideWhenUsed/>
    <w:qFormat/>
    <w:uiPriority w:val="0"/>
    <w:pPr>
      <w:keepNext/>
      <w:keepLines/>
      <w:spacing w:before="120" w:beforeLines="120" w:beforeAutospacing="0" w:after="80" w:afterLines="80" w:afterAutospacing="0" w:line="288" w:lineRule="auto"/>
      <w:outlineLvl w:val="3"/>
    </w:pPr>
    <w:rPr>
      <w:b/>
      <w:bCs/>
      <w:sz w:val="28"/>
      <w:szCs w:val="28"/>
    </w:rPr>
  </w:style>
  <w:style w:type="paragraph" w:styleId="6">
    <w:name w:val="heading 5"/>
    <w:basedOn w:val="1"/>
    <w:next w:val="7"/>
    <w:unhideWhenUsed/>
    <w:qFormat/>
    <w:uiPriority w:val="0"/>
    <w:pPr>
      <w:keepNext/>
      <w:keepLines/>
      <w:spacing w:before="120" w:beforeLines="120" w:beforeAutospacing="0" w:after="80" w:afterLines="80" w:afterAutospacing="0" w:line="288" w:lineRule="auto"/>
      <w:outlineLvl w:val="4"/>
    </w:pPr>
    <w:rPr>
      <w:b/>
      <w:bCs/>
    </w:rPr>
  </w:style>
  <w:style w:type="paragraph" w:styleId="8">
    <w:name w:val="heading 6"/>
    <w:basedOn w:val="1"/>
    <w:next w:val="7"/>
    <w:unhideWhenUsed/>
    <w:qFormat/>
    <w:uiPriority w:val="0"/>
    <w:pPr>
      <w:keepNext/>
      <w:keepLines/>
      <w:spacing w:before="120" w:beforeLines="120" w:beforeAutospacing="0" w:after="80" w:afterLines="80" w:afterAutospacing="0" w:line="288" w:lineRule="auto"/>
      <w:outlineLvl w:val="5"/>
    </w:pPr>
    <w:rPr>
      <w:rFonts w:asciiTheme="minorAscii" w:hAnsiTheme="minorAscii" w:eastAsiaTheme="minorEastAsia"/>
      <w:b/>
      <w:bCs/>
    </w:rPr>
  </w:style>
  <w:style w:type="paragraph" w:styleId="9">
    <w:name w:val="heading 7"/>
    <w:basedOn w:val="1"/>
    <w:next w:val="7"/>
    <w:unhideWhenUsed/>
    <w:qFormat/>
    <w:uiPriority w:val="0"/>
    <w:pPr>
      <w:keepNext/>
      <w:keepLines/>
      <w:spacing w:before="120" w:beforeLines="120" w:beforeAutospacing="0" w:after="80" w:afterLines="80" w:afterAutospacing="0" w:line="288" w:lineRule="auto"/>
      <w:outlineLvl w:val="6"/>
    </w:pPr>
    <w:rPr>
      <w:rFonts w:asciiTheme="minorAscii" w:hAnsiTheme="minorAscii" w:eastAsiaTheme="minorEastAsia"/>
      <w:b/>
      <w:bCs/>
    </w:rPr>
  </w:style>
  <w:style w:type="paragraph" w:styleId="10">
    <w:name w:val="heading 8"/>
    <w:basedOn w:val="1"/>
    <w:next w:val="7"/>
    <w:unhideWhenUsed/>
    <w:qFormat/>
    <w:uiPriority w:val="0"/>
    <w:pPr>
      <w:keepNext/>
      <w:keepLines/>
      <w:spacing w:before="120" w:beforeLines="120" w:beforeAutospacing="0" w:after="80" w:afterLines="80" w:afterAutospacing="0" w:line="288" w:lineRule="auto"/>
      <w:outlineLvl w:val="7"/>
    </w:pPr>
    <w:rPr>
      <w:rFonts w:asciiTheme="minorAscii" w:hAnsiTheme="minorAscii" w:eastAsiaTheme="minorEastAsia"/>
      <w:b/>
      <w:bCs/>
    </w:rPr>
  </w:style>
  <w:style w:type="paragraph" w:styleId="11">
    <w:name w:val="heading 9"/>
    <w:basedOn w:val="1"/>
    <w:next w:val="7"/>
    <w:unhideWhenUsed/>
    <w:qFormat/>
    <w:uiPriority w:val="0"/>
    <w:pPr>
      <w:keepNext/>
      <w:keepLines/>
      <w:spacing w:before="120" w:beforeLines="120" w:beforeAutospacing="0" w:after="80" w:afterLines="80" w:afterAutospacing="0" w:line="288" w:lineRule="auto"/>
      <w:outlineLvl w:val="8"/>
    </w:pPr>
    <w:rPr>
      <w:rFonts w:asciiTheme="minorAscii" w:hAnsiTheme="minorAscii" w:eastAsiaTheme="minorEastAsia"/>
      <w:b/>
      <w:bCs/>
      <w:sz w:val="24"/>
    </w:rPr>
  </w:style>
  <w:style w:type="character" w:default="1" w:styleId="30">
    <w:name w:val="Default Paragraph Font"/>
    <w:semiHidden/>
    <w:qFormat/>
    <w:uiPriority w:val="0"/>
  </w:style>
  <w:style w:type="table" w:default="1" w:styleId="39">
    <w:name w:val="Normal Table"/>
    <w:semiHidden/>
    <w:qFormat/>
    <w:uiPriority w:val="0"/>
    <w:tblPr>
      <w:tblLayout w:type="fixed"/>
      <w:tblCellMar>
        <w:top w:w="0" w:type="dxa"/>
        <w:left w:w="108" w:type="dxa"/>
        <w:bottom w:w="0" w:type="dxa"/>
        <w:right w:w="108" w:type="dxa"/>
      </w:tblCellMar>
    </w:tblPr>
  </w:style>
  <w:style w:type="paragraph" w:styleId="7">
    <w:name w:val="Body Text"/>
    <w:basedOn w:val="1"/>
    <w:qFormat/>
    <w:uiPriority w:val="0"/>
    <w:pPr>
      <w:spacing w:after="120" w:afterLines="0" w:afterAutospacing="0"/>
    </w:pPr>
  </w:style>
  <w:style w:type="paragraph" w:styleId="12">
    <w:name w:val="annotation subject"/>
    <w:basedOn w:val="13"/>
    <w:next w:val="13"/>
    <w:qFormat/>
    <w:uiPriority w:val="0"/>
    <w:rPr>
      <w:b/>
      <w:color w:val="262626" w:themeColor="text1" w:themeTint="D9"/>
      <w14:textFill>
        <w14:solidFill>
          <w14:schemeClr w14:val="tx1">
            <w14:lumMod w14:val="85000"/>
            <w14:lumOff w14:val="15000"/>
          </w14:schemeClr>
        </w14:solidFill>
      </w14:textFill>
    </w:rPr>
  </w:style>
  <w:style w:type="paragraph" w:styleId="13">
    <w:name w:val="annotation text"/>
    <w:basedOn w:val="1"/>
    <w:qFormat/>
    <w:uiPriority w:val="0"/>
    <w:pPr>
      <w:jc w:val="left"/>
    </w:pPr>
    <w:rPr>
      <w:color w:val="262626" w:themeColor="text1" w:themeTint="D9"/>
      <w14:textFill>
        <w14:solidFill>
          <w14:schemeClr w14:val="tx1">
            <w14:lumMod w14:val="85000"/>
            <w14:lumOff w14:val="15000"/>
          </w14:schemeClr>
        </w14:solidFill>
      </w14:textFill>
    </w:rPr>
  </w:style>
  <w:style w:type="paragraph" w:styleId="14">
    <w:name w:val="caption"/>
    <w:basedOn w:val="1"/>
    <w:next w:val="1"/>
    <w:unhideWhenUsed/>
    <w:qFormat/>
    <w:uiPriority w:val="0"/>
    <w:pPr>
      <w:ind w:firstLine="0" w:firstLineChars="0"/>
    </w:pPr>
    <w:rPr>
      <w:rFonts w:cs="Times New Roman" w:asciiTheme="minorAscii" w:hAnsiTheme="minorAscii" w:eastAsiaTheme="minorEastAsia"/>
      <w:sz w:val="24"/>
    </w:rPr>
  </w:style>
  <w:style w:type="paragraph" w:styleId="15">
    <w:name w:val="Salutation"/>
    <w:basedOn w:val="1"/>
    <w:next w:val="1"/>
    <w:qFormat/>
    <w:uiPriority w:val="0"/>
  </w:style>
  <w:style w:type="paragraph" w:styleId="16">
    <w:name w:val="toc 3"/>
    <w:basedOn w:val="1"/>
    <w:next w:val="1"/>
    <w:qFormat/>
    <w:uiPriority w:val="0"/>
    <w:pPr>
      <w:ind w:left="840" w:leftChars="400"/>
    </w:pPr>
  </w:style>
  <w:style w:type="paragraph" w:styleId="17">
    <w:name w:val="Date"/>
    <w:basedOn w:val="1"/>
    <w:next w:val="1"/>
    <w:qFormat/>
    <w:uiPriority w:val="0"/>
    <w:pPr>
      <w:ind w:firstLine="0" w:firstLineChars="0"/>
      <w:jc w:val="right"/>
    </w:pPr>
    <w:rPr>
      <w:color w:val="262626" w:themeColor="text1" w:themeTint="D9"/>
      <w14:textFill>
        <w14:solidFill>
          <w14:schemeClr w14:val="tx1">
            <w14:lumMod w14:val="85000"/>
            <w14:lumOff w14:val="15000"/>
          </w14:schemeClr>
        </w14:solidFill>
      </w14:textFill>
    </w:rPr>
  </w:style>
  <w:style w:type="paragraph" w:styleId="18">
    <w:name w:val="endnote text"/>
    <w:basedOn w:val="1"/>
    <w:qFormat/>
    <w:uiPriority w:val="0"/>
    <w:pPr>
      <w:jc w:val="left"/>
    </w:pPr>
    <w:rPr>
      <w:color w:val="262626" w:themeColor="text1" w:themeTint="D9"/>
      <w14:textFill>
        <w14:solidFill>
          <w14:schemeClr w14:val="tx1">
            <w14:lumMod w14:val="85000"/>
            <w14:lumOff w14:val="15000"/>
          </w14:schemeClr>
        </w14:solidFill>
      </w14:textFill>
    </w:rPr>
  </w:style>
  <w:style w:type="paragraph" w:styleId="19">
    <w:name w:val="Balloon Text"/>
    <w:basedOn w:val="1"/>
    <w:qFormat/>
    <w:uiPriority w:val="0"/>
    <w:rPr>
      <w:sz w:val="18"/>
      <w:szCs w:val="18"/>
    </w:rPr>
  </w:style>
  <w:style w:type="paragraph" w:styleId="20">
    <w:name w:val="footer"/>
    <w:basedOn w:val="1"/>
    <w:qFormat/>
    <w:uiPriority w:val="0"/>
    <w:pPr>
      <w:tabs>
        <w:tab w:val="center" w:pos="4153"/>
        <w:tab w:val="right" w:pos="8306"/>
      </w:tabs>
      <w:ind w:firstLine="0" w:firstLineChars="0"/>
      <w:jc w:val="left"/>
    </w:pPr>
    <w:rPr>
      <w:sz w:val="18"/>
      <w:szCs w:val="18"/>
    </w:rPr>
  </w:style>
  <w:style w:type="paragraph" w:styleId="2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pacing w:line="240" w:lineRule="auto"/>
    </w:pPr>
    <w:rPr>
      <w:sz w:val="18"/>
      <w:szCs w:val="18"/>
    </w:rPr>
  </w:style>
  <w:style w:type="paragraph" w:styleId="22">
    <w:name w:val="Signature"/>
    <w:basedOn w:val="1"/>
    <w:qFormat/>
    <w:uiPriority w:val="0"/>
    <w:pPr>
      <w:ind w:firstLine="0" w:firstLineChars="0"/>
      <w:jc w:val="right"/>
    </w:pPr>
    <w:rPr>
      <w:color w:val="262626" w:themeColor="text1" w:themeTint="D9"/>
      <w14:textFill>
        <w14:solidFill>
          <w14:schemeClr w14:val="tx1">
            <w14:lumMod w14:val="85000"/>
            <w14:lumOff w14:val="15000"/>
          </w14:schemeClr>
        </w14:solidFill>
      </w14:textFill>
    </w:rPr>
  </w:style>
  <w:style w:type="paragraph" w:styleId="23">
    <w:name w:val="toc 1"/>
    <w:basedOn w:val="1"/>
    <w:next w:val="1"/>
    <w:qFormat/>
    <w:uiPriority w:val="0"/>
  </w:style>
  <w:style w:type="paragraph" w:styleId="24">
    <w:name w:val="Subtitle"/>
    <w:basedOn w:val="1"/>
    <w:next w:val="7"/>
    <w:qFormat/>
    <w:uiPriority w:val="0"/>
    <w:pPr>
      <w:spacing w:before="240" w:beforeLines="0" w:beforeAutospacing="0" w:after="60" w:afterLines="0" w:afterAutospacing="0" w:line="312" w:lineRule="auto"/>
      <w:jc w:val="center"/>
      <w:outlineLvl w:val="1"/>
    </w:pPr>
    <w:rPr>
      <w:rFonts w:asciiTheme="majorAscii" w:hAnsiTheme="majorAscii" w:eastAsiaTheme="majorEastAsia"/>
      <w:b/>
      <w:kern w:val="28"/>
      <w:sz w:val="32"/>
      <w:szCs w:val="32"/>
    </w:rPr>
  </w:style>
  <w:style w:type="paragraph" w:styleId="25">
    <w:name w:val="footnote text"/>
    <w:basedOn w:val="1"/>
    <w:qFormat/>
    <w:uiPriority w:val="0"/>
    <w:pPr>
      <w:jc w:val="left"/>
    </w:pPr>
    <w:rPr>
      <w:rFonts w:asciiTheme="minorAscii" w:hAnsiTheme="minorAscii" w:eastAsiaTheme="minorEastAsia"/>
      <w:sz w:val="24"/>
      <w:szCs w:val="24"/>
    </w:rPr>
  </w:style>
  <w:style w:type="paragraph" w:styleId="26">
    <w:name w:val="toc 2"/>
    <w:basedOn w:val="1"/>
    <w:next w:val="1"/>
    <w:qFormat/>
    <w:uiPriority w:val="0"/>
    <w:pPr>
      <w:ind w:left="420" w:leftChars="200"/>
    </w:pPr>
  </w:style>
  <w:style w:type="paragraph" w:styleId="27">
    <w:name w:val="HTML Preformatted"/>
    <w:basedOn w:val="1"/>
    <w:qFormat/>
    <w:uiPriority w:val="0"/>
    <w:rPr>
      <w:rFonts w:ascii="Courier New" w:hAnsi="Courier New"/>
      <w:sz w:val="20"/>
    </w:rPr>
  </w:style>
  <w:style w:type="paragraph" w:styleId="28">
    <w:name w:val="Normal (Web)"/>
    <w:basedOn w:val="1"/>
    <w:qFormat/>
    <w:uiPriority w:val="0"/>
    <w:rPr>
      <w:sz w:val="24"/>
    </w:rPr>
  </w:style>
  <w:style w:type="paragraph" w:styleId="29">
    <w:name w:val="Title"/>
    <w:basedOn w:val="1"/>
    <w:qFormat/>
    <w:uiPriority w:val="0"/>
    <w:pPr>
      <w:adjustRightInd w:val="0"/>
      <w:snapToGrid w:val="0"/>
      <w:spacing w:beforeLines="0" w:beforeAutospacing="0" w:after="100" w:afterLines="100" w:afterAutospacing="0"/>
      <w:jc w:val="center"/>
      <w:outlineLvl w:val="0"/>
    </w:pPr>
    <w:rPr>
      <w:rFonts w:asciiTheme="majorAscii" w:hAnsiTheme="majorAscii" w:eastAsiaTheme="majorEastAsia"/>
      <w:b/>
      <w:bCs/>
      <w:sz w:val="44"/>
      <w:szCs w:val="44"/>
    </w:rPr>
  </w:style>
  <w:style w:type="character" w:styleId="31">
    <w:name w:val="Strong"/>
    <w:basedOn w:val="30"/>
    <w:qFormat/>
    <w:uiPriority w:val="0"/>
    <w:rPr>
      <w:rFonts w:asciiTheme="minorAscii" w:hAnsiTheme="minorAscii" w:eastAsiaTheme="minorEastAsia"/>
      <w:b/>
    </w:rPr>
  </w:style>
  <w:style w:type="character" w:styleId="32">
    <w:name w:val="endnote reference"/>
    <w:basedOn w:val="30"/>
    <w:qFormat/>
    <w:uiPriority w:val="0"/>
    <w:rPr>
      <w:rFonts w:asciiTheme="minorAscii" w:hAnsiTheme="minorAscii" w:eastAsiaTheme="minorEastAsia"/>
      <w:color w:val="262626" w:themeColor="text1" w:themeTint="D9"/>
      <w:vertAlign w:val="superscript"/>
      <w14:textFill>
        <w14:solidFill>
          <w14:schemeClr w14:val="tx1">
            <w14:lumMod w14:val="85000"/>
            <w14:lumOff w14:val="15000"/>
          </w14:schemeClr>
        </w14:solidFill>
      </w14:textFill>
    </w:rPr>
  </w:style>
  <w:style w:type="character" w:styleId="33">
    <w:name w:val="page number"/>
    <w:qFormat/>
    <w:uiPriority w:val="0"/>
    <w:rPr>
      <w:rFonts w:cs="Times New Roman" w:asciiTheme="minorAscii" w:hAnsiTheme="minorAscii" w:eastAsiaTheme="minorEastAsia"/>
      <w:color w:val="262626" w:themeColor="text1" w:themeTint="D9"/>
      <w:spacing w:val="-6"/>
      <w:kern w:val="2"/>
      <w:sz w:val="28"/>
      <w:szCs w:val="28"/>
      <w:lang w:val="en-US" w:eastAsia="zh-CN" w:bidi="ar-SA"/>
      <w14:textFill>
        <w14:solidFill>
          <w14:schemeClr w14:val="tx1">
            <w14:lumMod w14:val="85000"/>
            <w14:lumOff w14:val="15000"/>
          </w14:schemeClr>
        </w14:solidFill>
      </w14:textFill>
    </w:rPr>
  </w:style>
  <w:style w:type="character" w:styleId="34">
    <w:name w:val="FollowedHyperlink"/>
    <w:basedOn w:val="30"/>
    <w:qFormat/>
    <w:uiPriority w:val="0"/>
    <w:rPr>
      <w:rFonts w:cs="Times New Roman" w:asciiTheme="minorAscii" w:hAnsiTheme="minorAscii" w:eastAsiaTheme="minorEastAsia"/>
      <w:color w:val="800080"/>
      <w:spacing w:val="-6"/>
      <w:kern w:val="2"/>
      <w:sz w:val="24"/>
      <w:szCs w:val="24"/>
      <w:u w:val="single"/>
      <w:lang w:val="en-US" w:eastAsia="zh-CN" w:bidi="ar-SA"/>
    </w:rPr>
  </w:style>
  <w:style w:type="character" w:styleId="35">
    <w:name w:val="Emphasis"/>
    <w:basedOn w:val="30"/>
    <w:qFormat/>
    <w:uiPriority w:val="0"/>
    <w:rPr>
      <w:i/>
    </w:rPr>
  </w:style>
  <w:style w:type="character" w:styleId="36">
    <w:name w:val="Hyperlink"/>
    <w:basedOn w:val="30"/>
    <w:qFormat/>
    <w:uiPriority w:val="0"/>
    <w:rPr>
      <w:rFonts w:cs="Times New Roman" w:asciiTheme="minorAscii" w:hAnsiTheme="minorAscii" w:eastAsiaTheme="minorEastAsia"/>
      <w:caps/>
      <w:color w:val="0000FF"/>
      <w:spacing w:val="-6"/>
      <w:kern w:val="2"/>
      <w:sz w:val="24"/>
      <w:szCs w:val="24"/>
      <w:u w:val="single"/>
      <w:lang w:val="en-US" w:eastAsia="zh-CN" w:bidi="ar-SA"/>
    </w:rPr>
  </w:style>
  <w:style w:type="character" w:styleId="37">
    <w:name w:val="annotation reference"/>
    <w:basedOn w:val="30"/>
    <w:qFormat/>
    <w:uiPriority w:val="0"/>
    <w:rPr>
      <w:rFonts w:asciiTheme="minorAscii" w:hAnsiTheme="minorAscii" w:eastAsiaTheme="minorEastAsia"/>
      <w:color w:val="262626" w:themeColor="text1" w:themeTint="D9"/>
      <w:sz w:val="21"/>
      <w:szCs w:val="21"/>
      <w14:textFill>
        <w14:solidFill>
          <w14:schemeClr w14:val="tx1">
            <w14:lumMod w14:val="85000"/>
            <w14:lumOff w14:val="15000"/>
          </w14:schemeClr>
        </w14:solidFill>
      </w14:textFill>
    </w:rPr>
  </w:style>
  <w:style w:type="character" w:styleId="38">
    <w:name w:val="footnote reference"/>
    <w:basedOn w:val="30"/>
    <w:qFormat/>
    <w:uiPriority w:val="0"/>
    <w:rPr>
      <w:rFonts w:asciiTheme="minorAscii" w:hAnsiTheme="minorAscii" w:eastAsiaTheme="minorEastAsia"/>
      <w:color w:val="262626" w:themeColor="text1" w:themeTint="D9"/>
      <w:vertAlign w:val="superscript"/>
      <w14:textFill>
        <w14:solidFill>
          <w14:schemeClr w14:val="tx1">
            <w14:lumMod w14:val="85000"/>
            <w14:lumOff w14:val="15000"/>
          </w14:schemeClr>
        </w14:solidFill>
      </w14:textFill>
    </w:rPr>
  </w:style>
  <w:style w:type="paragraph" w:customStyle="1" w:styleId="40">
    <w:name w:val="正文-公1"/>
    <w:basedOn w:val="41"/>
    <w:next w:val="1"/>
    <w:qFormat/>
    <w:uiPriority w:val="0"/>
    <w:pPr>
      <w:ind w:firstLine="200" w:firstLineChars="200"/>
    </w:pPr>
  </w:style>
  <w:style w:type="paragraph" w:customStyle="1" w:styleId="41">
    <w:name w:val="正文 New New New New New New New New New New New New New New New New New New New New New New New New New New New New New New New New New New New New New New New New New New New New New New New New New New New New New New New New New New New New New New Ne"/>
    <w:next w:val="40"/>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42">
    <w:name w:val="南京正文"/>
    <w:basedOn w:val="1"/>
    <w:qFormat/>
    <w:uiPriority w:val="0"/>
    <w:pPr>
      <w:spacing w:line="560" w:lineRule="exact"/>
      <w:ind w:firstLine="200" w:firstLineChars="200"/>
    </w:pPr>
    <w:rPr>
      <w:rFonts w:eastAsia="仿宋"/>
      <w:sz w:val="32"/>
      <w:szCs w:val="28"/>
      <w:lang w:val="zh-C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661</Words>
  <Characters>770</Characters>
  <Lines>0</Lines>
  <Paragraphs>0</Paragraphs>
  <ScaleCrop>false</ScaleCrop>
  <LinksUpToDate>false</LinksUpToDate>
  <CharactersWithSpaces>772</CharactersWithSpaces>
  <Application>WPS Office_10.8.0.5391_F1E327BC-269C-435d-A152-05C5408002CA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2026-10-08T09:05:00Z</dcterms:created>
  <dc:creator>Administrator</dc:creator>
  <cp:lastModifiedBy>Administrator</cp:lastModifiedBy>
  <cp:lastPrinted>2026-10-09T03:49:00Z</cp:lastPrinted>
  <dcterms:modified xsi:type="dcterms:W3CDTF">2026-10-19T01:48:05Z</dcterms:modified>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2052-10.8.0.5391</vt:lpwstr>
  </property>
  <property fmtid="{D5CDD505-2E9C-101B-9397-08002B2CF9AE}" pid="3" name="KSOTemplateDocerSaveRecord">
    <vt:lpwstr>eyJoZGlkIjoiNTEwYTA4YTQyMGM2M2FmNGIyMmRkMGVkYjkzOGM3ZGQiLCJ1c2VySWQiOiI0NTQxMDY5NDgifQ==</vt:lpwstr>
  </property>
  <property fmtid="{D5CDD505-2E9C-101B-9397-08002B2CF9AE}" pid="4" name="ICV">
    <vt:lpwstr>76F6E705B43C46FD8F0C2CD715608A29_12</vt:lpwstr>
  </property>
</Properties>
</file>