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0" w:lineRule="atLeast"/>
        <w:jc w:val="center"/>
        <w:rPr>
          <w:rFonts w:ascii="Times New Roman" w:hAnsi="Times New Roman" w:eastAsia="方正小标宋_GBK" w:cs="Times New Roman"/>
          <w:kern w:val="0"/>
          <w:sz w:val="44"/>
          <w:szCs w:val="44"/>
        </w:rPr>
      </w:pPr>
      <w:r>
        <w:rPr>
          <w:rFonts w:ascii="Times New Roman" w:hAnsi="Times New Roman" w:eastAsia="方正小标宋_GBK" w:cs="Times New Roman"/>
          <w:kern w:val="0"/>
          <w:sz w:val="44"/>
          <w:szCs w:val="44"/>
        </w:rPr>
        <w:t>202</w:t>
      </w:r>
      <w:r>
        <w:rPr>
          <w:rFonts w:hint="eastAsia" w:ascii="Times New Roman" w:hAnsi="Times New Roman" w:eastAsia="方正小标宋_GBK" w:cs="Times New Roman"/>
          <w:kern w:val="0"/>
          <w:sz w:val="44"/>
          <w:szCs w:val="44"/>
        </w:rPr>
        <w:t>5</w:t>
      </w:r>
      <w:r>
        <w:rPr>
          <w:rFonts w:ascii="Times New Roman" w:hAnsi="Times New Roman" w:eastAsia="方正小标宋_GBK" w:cs="Times New Roman"/>
          <w:kern w:val="0"/>
          <w:sz w:val="44"/>
          <w:szCs w:val="44"/>
        </w:rPr>
        <w:t>年度南京市公安局鼓楼分局</w:t>
      </w:r>
    </w:p>
    <w:p>
      <w:pPr>
        <w:widowControl/>
        <w:spacing w:line="0" w:lineRule="atLeast"/>
        <w:jc w:val="center"/>
        <w:rPr>
          <w:rFonts w:ascii="Times New Roman" w:hAnsi="Times New Roman" w:eastAsia="方正小标宋_GBK" w:cs="Times New Roman"/>
          <w:kern w:val="0"/>
          <w:sz w:val="44"/>
          <w:szCs w:val="44"/>
        </w:rPr>
      </w:pPr>
      <w:r>
        <w:rPr>
          <w:rFonts w:ascii="Times New Roman" w:hAnsi="Times New Roman" w:eastAsia="方正小标宋_GBK" w:cs="Times New Roman"/>
          <w:kern w:val="0"/>
          <w:sz w:val="44"/>
          <w:szCs w:val="44"/>
        </w:rPr>
        <w:t>部门整体绩效评价报告</w:t>
      </w:r>
    </w:p>
    <w:p>
      <w:pPr>
        <w:widowControl/>
        <w:spacing w:line="560" w:lineRule="exact"/>
        <w:ind w:firstLine="640" w:firstLineChars="200"/>
        <w:jc w:val="left"/>
        <w:rPr>
          <w:rFonts w:ascii="Times New Roman" w:hAnsi="Times New Roman" w:eastAsia="黑体" w:cs="Times New Roman"/>
          <w:color w:val="000000"/>
          <w:kern w:val="0"/>
          <w:sz w:val="32"/>
          <w:szCs w:val="32"/>
        </w:rPr>
      </w:pPr>
    </w:p>
    <w:p>
      <w:pPr>
        <w:widowControl/>
        <w:spacing w:line="560" w:lineRule="exact"/>
        <w:ind w:firstLine="640" w:firstLineChars="200"/>
        <w:rPr>
          <w:rFonts w:ascii="Times New Roman" w:hAnsi="Times New Roman" w:eastAsia="方正黑体_GBK" w:cs="Times New Roman"/>
          <w:color w:val="000000"/>
          <w:kern w:val="0"/>
          <w:sz w:val="32"/>
          <w:szCs w:val="32"/>
        </w:rPr>
      </w:pPr>
      <w:r>
        <w:rPr>
          <w:rFonts w:ascii="Times New Roman" w:hAnsi="Times New Roman" w:eastAsia="方正黑体_GBK" w:cs="Times New Roman"/>
          <w:color w:val="000000"/>
          <w:kern w:val="0"/>
          <w:sz w:val="32"/>
          <w:szCs w:val="32"/>
        </w:rPr>
        <w:t>一、部门概况</w:t>
      </w:r>
    </w:p>
    <w:p>
      <w:pPr>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b/>
          <w:bCs/>
          <w:color w:val="000000"/>
          <w:kern w:val="0"/>
          <w:sz w:val="32"/>
          <w:szCs w:val="32"/>
        </w:rPr>
        <w:t>（一）部门</w:t>
      </w:r>
      <w:r>
        <w:rPr>
          <w:rFonts w:ascii="Times New Roman" w:hAnsi="Times New Roman" w:eastAsia="方正仿宋_GBK" w:cs="Times New Roman"/>
          <w:b/>
          <w:bCs/>
          <w:sz w:val="32"/>
          <w:szCs w:val="32"/>
        </w:rPr>
        <w:t>基本情况</w:t>
      </w:r>
    </w:p>
    <w:p>
      <w:pPr>
        <w:spacing w:line="560" w:lineRule="exact"/>
        <w:ind w:firstLine="640" w:firstLineChars="200"/>
        <w:rPr>
          <w:rFonts w:ascii="Times New Roman" w:hAnsi="Times New Roman" w:eastAsia="方正楷体_GBK" w:cs="Times New Roman"/>
          <w:sz w:val="32"/>
          <w:szCs w:val="32"/>
        </w:rPr>
      </w:pPr>
      <w:r>
        <w:rPr>
          <w:rFonts w:hint="eastAsia" w:ascii="Times New Roman" w:hAnsi="Times New Roman" w:eastAsia="方正楷体_GBK" w:cs="Times New Roman"/>
          <w:sz w:val="32"/>
          <w:szCs w:val="32"/>
        </w:rPr>
        <w:t>1</w:t>
      </w:r>
      <w:r>
        <w:rPr>
          <w:rFonts w:ascii="Times New Roman" w:hAnsi="Times New Roman" w:eastAsia="方正楷体_GBK" w:cs="Times New Roman"/>
          <w:sz w:val="32"/>
          <w:szCs w:val="32"/>
        </w:rPr>
        <w:t>、部门主要职能</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（1）贯彻执行党和国家有关公安工作的方针、政策和法律、法规。</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（2）掌握影响辖区稳定、危害国内安全和社会治安的情况，向区委、区政府和市局及时提供重要线索信息，分析、研究对策并组织实施。</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（3）负责公安民警队伍和警务辅助人员队伍的管理、教育和训练工作。</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（4）受理公民报警求助；依法预防、制止和侦查违法犯罪活动；处置重大案件、治安事故和骚乱，预防、打击恐怖活动。</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（5）依法查处危害社会治安秩序的行为；积极预防、妥善处置突发性事件、群体性事件，维护社会稳定；依法管理集会、游行、示威活动；依法管理户籍、居民身份证、枪支弹药、危险物品和特种行业等工作。</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（6）依法管理辖区出入境事务和外国人在辖区居留、旅行等有关事务。</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（7）负责辖区公共信息网络安全监察工作。</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（8）执行辖区安全警卫工作及重要警卫任务。</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（9）指导、监督辖区国家机关、社会团体、企事业单位和重点建设工程的治安保卫工作。</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（10）组织开展分局公安警务督察工作，检查、监督分局各内设机构及人民警察的执法活动。</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（11）负责分局装备、被装配备和专项经费管理等警务保障工作。</w:t>
      </w:r>
    </w:p>
    <w:p>
      <w:pPr>
        <w:spacing w:line="560"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（12）承办区委、区政府和上级公安机关交办的其他事项。</w:t>
      </w:r>
    </w:p>
    <w:p>
      <w:pPr>
        <w:spacing w:line="560" w:lineRule="exact"/>
        <w:ind w:firstLine="640" w:firstLineChars="200"/>
        <w:rPr>
          <w:rFonts w:ascii="Times New Roman" w:hAnsi="Times New Roman" w:eastAsia="方正楷体_GBK" w:cs="Times New Roman"/>
          <w:sz w:val="32"/>
          <w:szCs w:val="32"/>
        </w:rPr>
      </w:pPr>
      <w:r>
        <w:rPr>
          <w:rFonts w:hint="eastAsia" w:ascii="Times New Roman" w:hAnsi="Times New Roman" w:eastAsia="方正楷体_GBK" w:cs="Times New Roman"/>
          <w:sz w:val="32"/>
          <w:szCs w:val="32"/>
        </w:rPr>
        <w:t>2</w:t>
      </w:r>
      <w:r>
        <w:rPr>
          <w:rFonts w:ascii="Times New Roman" w:hAnsi="Times New Roman" w:eastAsia="方正楷体_GBK" w:cs="Times New Roman"/>
          <w:sz w:val="32"/>
          <w:szCs w:val="32"/>
        </w:rPr>
        <w:t>、机构设置</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本单位</w:t>
      </w:r>
      <w:r>
        <w:rPr>
          <w:rFonts w:ascii="Times New Roman" w:hAnsi="Times New Roman" w:eastAsia="方正仿宋_GBK" w:cs="Times New Roman"/>
          <w:sz w:val="32"/>
          <w:szCs w:val="32"/>
        </w:rPr>
        <w:t>内设机构</w:t>
      </w:r>
      <w:r>
        <w:rPr>
          <w:rFonts w:hint="eastAsia" w:ascii="Times New Roman" w:hAnsi="Times New Roman" w:eastAsia="方正仿宋_GBK" w:cs="Times New Roman"/>
          <w:sz w:val="32"/>
          <w:szCs w:val="32"/>
        </w:rPr>
        <w:t>包括：</w:t>
      </w:r>
      <w:r>
        <w:rPr>
          <w:rFonts w:ascii="Times New Roman" w:hAnsi="Times New Roman" w:eastAsia="方正仿宋_GBK" w:cs="Times New Roman"/>
          <w:sz w:val="32"/>
          <w:szCs w:val="32"/>
        </w:rPr>
        <w:t>政工室、督察审计大队、警务保障室、情报指挥中心、政治安全保卫大队、单位内部安全保卫大队、治安管理大队、刑事侦查大队等</w:t>
      </w:r>
      <w:r>
        <w:rPr>
          <w:rFonts w:hint="eastAsia" w:ascii="Times New Roman" w:hAnsi="Times New Roman" w:eastAsia="方正仿宋_GBK" w:cs="Times New Roman"/>
          <w:sz w:val="32"/>
          <w:szCs w:val="32"/>
        </w:rPr>
        <w:t>。</w:t>
      </w:r>
      <w:r>
        <w:rPr>
          <w:rFonts w:ascii="Times New Roman" w:hAnsi="Times New Roman" w:eastAsia="方正仿宋_GBK" w:cs="Times New Roman"/>
          <w:sz w:val="32"/>
          <w:szCs w:val="32"/>
        </w:rPr>
        <w:t>下辖14个派出所，分别为</w:t>
      </w:r>
      <w:r>
        <w:rPr>
          <w:rFonts w:hint="eastAsia" w:ascii="Times New Roman" w:hAnsi="Times New Roman" w:eastAsia="方正仿宋_GBK" w:cs="Times New Roman"/>
          <w:sz w:val="32"/>
          <w:szCs w:val="32"/>
        </w:rPr>
        <w:t>华侨</w:t>
      </w:r>
      <w:r>
        <w:rPr>
          <w:rFonts w:ascii="Times New Roman" w:hAnsi="Times New Roman" w:eastAsia="方正仿宋_GBK" w:cs="Times New Roman"/>
          <w:sz w:val="32"/>
          <w:szCs w:val="32"/>
        </w:rPr>
        <w:t>路派出所、宁海路派出所、鼓楼派出所、湖南路派出所、中央门派出所、挹江门派出所、江东派出所、汉中门派出所、小市派出所、四所村派出所、宝塔</w:t>
      </w:r>
      <w:r>
        <w:rPr>
          <w:rFonts w:hint="eastAsia" w:ascii="Times New Roman" w:hAnsi="Times New Roman" w:eastAsia="方正仿宋_GBK" w:cs="Times New Roman"/>
          <w:sz w:val="32"/>
          <w:szCs w:val="32"/>
        </w:rPr>
        <w:t>桥</w:t>
      </w:r>
      <w:r>
        <w:rPr>
          <w:rFonts w:ascii="Times New Roman" w:hAnsi="Times New Roman" w:eastAsia="方正仿宋_GBK" w:cs="Times New Roman"/>
          <w:sz w:val="32"/>
          <w:szCs w:val="32"/>
        </w:rPr>
        <w:t>派出所、阅江楼派出所、二板桥派出所、幕府山派出所。</w:t>
      </w:r>
    </w:p>
    <w:p>
      <w:pPr>
        <w:spacing w:line="560" w:lineRule="exact"/>
        <w:ind w:firstLine="640" w:firstLineChars="200"/>
        <w:rPr>
          <w:rFonts w:ascii="Times New Roman" w:hAnsi="Times New Roman" w:eastAsia="方正楷体_GBK" w:cs="Times New Roman"/>
          <w:sz w:val="32"/>
          <w:szCs w:val="32"/>
        </w:rPr>
      </w:pPr>
      <w:r>
        <w:rPr>
          <w:rFonts w:hint="eastAsia" w:ascii="Times New Roman" w:hAnsi="Times New Roman" w:eastAsia="方正楷体_GBK" w:cs="Times New Roman"/>
          <w:sz w:val="32"/>
          <w:szCs w:val="32"/>
        </w:rPr>
        <w:t>3、人员配置</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截至2025年末，南京市公安局鼓楼分局实有在职人员1338人（含行政工人2人），离退休人员700人。公务用车编制数为305辆，实有车辆数为305辆。</w:t>
      </w:r>
    </w:p>
    <w:p>
      <w:pPr>
        <w:numPr>
          <w:ilvl w:val="0"/>
          <w:numId w:val="1"/>
        </w:numPr>
        <w:spacing w:line="560" w:lineRule="exact"/>
        <w:ind w:firstLine="640" w:firstLineChars="200"/>
        <w:rPr>
          <w:rFonts w:ascii="Times New Roman" w:hAnsi="Times New Roman" w:eastAsia="方正楷体_GBK" w:cs="Times New Roman"/>
          <w:sz w:val="32"/>
          <w:szCs w:val="32"/>
        </w:rPr>
      </w:pPr>
      <w:r>
        <w:rPr>
          <w:rFonts w:hint="eastAsia" w:ascii="Times New Roman" w:hAnsi="Times New Roman" w:eastAsia="方正楷体_GBK" w:cs="Times New Roman"/>
          <w:sz w:val="32"/>
          <w:szCs w:val="32"/>
        </w:rPr>
        <w:t>部门资产</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截至2025年末，南京市公安局鼓楼分局资产总额49461.05万元，其中流动资产27088.82万元，非流动资产22372.23万元。固定资产原值为37770.81万元，净值为17496.14万元。负债总额20962.51万元、净资产总额28498.54万元。</w:t>
      </w:r>
    </w:p>
    <w:p>
      <w:pPr>
        <w:pStyle w:val="4"/>
        <w:ind w:left="0" w:leftChars="0"/>
      </w:pPr>
    </w:p>
    <w:p>
      <w:pPr>
        <w:spacing w:line="560" w:lineRule="exact"/>
        <w:ind w:firstLine="640" w:firstLineChars="200"/>
        <w:rPr>
          <w:rFonts w:ascii="Times New Roman" w:hAnsi="Times New Roman" w:eastAsia="方正仿宋_GBK" w:cs="Times New Roman"/>
          <w:b/>
          <w:bCs/>
          <w:kern w:val="0"/>
          <w:sz w:val="32"/>
          <w:szCs w:val="32"/>
        </w:rPr>
      </w:pPr>
      <w:r>
        <w:rPr>
          <w:rFonts w:ascii="Times New Roman" w:hAnsi="Times New Roman" w:eastAsia="方正仿宋_GBK" w:cs="Times New Roman"/>
          <w:b/>
          <w:bCs/>
          <w:color w:val="000000"/>
          <w:kern w:val="0"/>
          <w:sz w:val="32"/>
          <w:szCs w:val="32"/>
        </w:rPr>
        <w:t>（二）部门</w:t>
      </w:r>
      <w:r>
        <w:rPr>
          <w:rFonts w:hint="eastAsia" w:ascii="Times New Roman" w:hAnsi="Times New Roman" w:eastAsia="方正仿宋_GBK" w:cs="Times New Roman"/>
          <w:b/>
          <w:bCs/>
          <w:color w:val="000000"/>
          <w:kern w:val="0"/>
          <w:sz w:val="32"/>
          <w:szCs w:val="32"/>
        </w:rPr>
        <w:t>资金</w:t>
      </w:r>
      <w:r>
        <w:rPr>
          <w:rFonts w:ascii="Times New Roman" w:hAnsi="Times New Roman" w:eastAsia="方正仿宋_GBK" w:cs="Times New Roman"/>
          <w:b/>
          <w:bCs/>
          <w:color w:val="000000"/>
          <w:kern w:val="0"/>
          <w:sz w:val="32"/>
          <w:szCs w:val="32"/>
        </w:rPr>
        <w:t>情况</w:t>
      </w:r>
    </w:p>
    <w:p>
      <w:pPr>
        <w:spacing w:line="560" w:lineRule="exact"/>
        <w:ind w:firstLine="640" w:firstLineChars="200"/>
        <w:rPr>
          <w:rFonts w:ascii="Times New Roman" w:hAnsi="Times New Roman" w:eastAsia="方正仿宋_GBK" w:cs="Times New Roman"/>
          <w:color w:val="000000"/>
          <w:kern w:val="0"/>
          <w:sz w:val="32"/>
          <w:szCs w:val="32"/>
        </w:rPr>
      </w:pPr>
      <w:r>
        <w:rPr>
          <w:rFonts w:ascii="Times New Roman" w:hAnsi="Times New Roman" w:eastAsia="方正仿宋_GBK" w:cs="Times New Roman"/>
          <w:color w:val="000000"/>
          <w:kern w:val="0"/>
          <w:sz w:val="32"/>
          <w:szCs w:val="32"/>
          <w:lang w:val="zh-CN"/>
        </w:rPr>
        <w:t>1、</w:t>
      </w:r>
      <w:r>
        <w:rPr>
          <w:rFonts w:ascii="Times New Roman" w:hAnsi="Times New Roman" w:eastAsia="方正楷体_GBK" w:cs="Times New Roman"/>
          <w:sz w:val="32"/>
          <w:szCs w:val="32"/>
        </w:rPr>
        <w:t>部门</w:t>
      </w:r>
      <w:r>
        <w:rPr>
          <w:rFonts w:hint="eastAsia" w:ascii="Times New Roman" w:hAnsi="Times New Roman" w:eastAsia="方正楷体_GBK" w:cs="Times New Roman"/>
          <w:sz w:val="32"/>
          <w:szCs w:val="32"/>
        </w:rPr>
        <w:t>收支</w:t>
      </w:r>
      <w:r>
        <w:rPr>
          <w:rFonts w:ascii="Times New Roman" w:hAnsi="Times New Roman" w:eastAsia="方正楷体_GBK" w:cs="Times New Roman"/>
          <w:sz w:val="32"/>
          <w:szCs w:val="32"/>
        </w:rPr>
        <w:t>情况</w:t>
      </w:r>
    </w:p>
    <w:p>
      <w:pPr>
        <w:spacing w:line="560" w:lineRule="exact"/>
        <w:ind w:firstLine="640" w:firstLineChars="200"/>
      </w:pPr>
      <w:r>
        <w:rPr>
          <w:rFonts w:hint="eastAsia" w:ascii="Times New Roman" w:hAnsi="Times New Roman" w:eastAsia="方正仿宋_GBK" w:cs="Times New Roman"/>
          <w:sz w:val="32"/>
          <w:szCs w:val="32"/>
        </w:rPr>
        <w:t>2025年度</w:t>
      </w:r>
      <w:r>
        <w:rPr>
          <w:rFonts w:hint="eastAsia" w:ascii="Times New Roman" w:hAnsi="Times New Roman" w:eastAsia="方正仿宋_GBK" w:cs="Times New Roman"/>
          <w:sz w:val="32"/>
          <w:szCs w:val="32"/>
          <w:lang w:val="zh-CN"/>
        </w:rPr>
        <w:t>南京市</w:t>
      </w:r>
      <w:r>
        <w:rPr>
          <w:rFonts w:hint="eastAsia" w:ascii="Times New Roman" w:hAnsi="Times New Roman" w:eastAsia="方正仿宋_GBK" w:cs="Times New Roman"/>
          <w:sz w:val="32"/>
          <w:szCs w:val="32"/>
        </w:rPr>
        <w:t>公安局鼓楼分局</w:t>
      </w:r>
      <w:r>
        <w:rPr>
          <w:rFonts w:hint="eastAsia" w:ascii="Times New Roman" w:hAnsi="Times New Roman" w:eastAsia="方正仿宋_GBK" w:cs="Times New Roman"/>
          <w:sz w:val="32"/>
          <w:szCs w:val="32"/>
          <w:lang w:val="zh-CN"/>
        </w:rPr>
        <w:t>预算安排</w:t>
      </w:r>
      <w:r>
        <w:rPr>
          <w:rFonts w:hint="eastAsia" w:ascii="Times New Roman" w:hAnsi="Times New Roman" w:eastAsia="方正仿宋_GBK" w:cs="Times New Roman"/>
          <w:sz w:val="32"/>
          <w:szCs w:val="32"/>
        </w:rPr>
        <w:t>70697.46</w:t>
      </w:r>
      <w:r>
        <w:rPr>
          <w:rFonts w:hint="eastAsia" w:ascii="Times New Roman" w:hAnsi="Times New Roman" w:eastAsia="方正仿宋_GBK" w:cs="Times New Roman"/>
          <w:sz w:val="32"/>
          <w:szCs w:val="32"/>
          <w:lang w:val="zh-CN"/>
        </w:rPr>
        <w:t>万元，其中：基本支出</w:t>
      </w:r>
      <w:r>
        <w:rPr>
          <w:rFonts w:hint="eastAsia" w:ascii="Times New Roman" w:hAnsi="Times New Roman" w:eastAsia="方正仿宋_GBK" w:cs="Times New Roman"/>
          <w:sz w:val="32"/>
          <w:szCs w:val="32"/>
        </w:rPr>
        <w:t>69073.65</w:t>
      </w:r>
      <w:r>
        <w:rPr>
          <w:rFonts w:hint="eastAsia" w:ascii="Times New Roman" w:hAnsi="Times New Roman" w:eastAsia="方正仿宋_GBK" w:cs="Times New Roman"/>
          <w:sz w:val="32"/>
          <w:szCs w:val="32"/>
          <w:lang w:val="zh-CN"/>
        </w:rPr>
        <w:t>万元，项目支出</w:t>
      </w:r>
      <w:r>
        <w:rPr>
          <w:rFonts w:hint="eastAsia" w:ascii="Times New Roman" w:hAnsi="Times New Roman" w:eastAsia="方正仿宋_GBK" w:cs="Times New Roman"/>
          <w:sz w:val="32"/>
          <w:szCs w:val="32"/>
        </w:rPr>
        <w:t>1623.81</w:t>
      </w:r>
      <w:r>
        <w:rPr>
          <w:rFonts w:hint="eastAsia" w:ascii="Times New Roman" w:hAnsi="Times New Roman" w:eastAsia="方正仿宋_GBK" w:cs="Times New Roman"/>
          <w:sz w:val="32"/>
          <w:szCs w:val="32"/>
          <w:lang w:val="zh-CN"/>
        </w:rPr>
        <w:t>万元。调整后预算</w:t>
      </w:r>
      <w:r>
        <w:rPr>
          <w:rFonts w:hint="eastAsia" w:ascii="Times New Roman" w:hAnsi="Times New Roman" w:eastAsia="方正仿宋_GBK" w:cs="Times New Roman"/>
          <w:sz w:val="32"/>
          <w:szCs w:val="32"/>
        </w:rPr>
        <w:t>81609.68</w:t>
      </w:r>
      <w:r>
        <w:rPr>
          <w:rFonts w:hint="eastAsia" w:ascii="Times New Roman" w:hAnsi="Times New Roman" w:eastAsia="方正仿宋_GBK" w:cs="Times New Roman"/>
          <w:sz w:val="32"/>
          <w:szCs w:val="32"/>
          <w:lang w:val="zh-CN"/>
        </w:rPr>
        <w:t>万元，其中：基本支出</w:t>
      </w:r>
      <w:r>
        <w:rPr>
          <w:rFonts w:hint="eastAsia" w:ascii="Times New Roman" w:hAnsi="Times New Roman" w:eastAsia="方正仿宋_GBK" w:cs="Times New Roman"/>
          <w:sz w:val="32"/>
          <w:szCs w:val="32"/>
        </w:rPr>
        <w:t>79586.11</w:t>
      </w:r>
      <w:r>
        <w:rPr>
          <w:rFonts w:hint="eastAsia" w:ascii="Times New Roman" w:hAnsi="Times New Roman" w:eastAsia="方正仿宋_GBK" w:cs="Times New Roman"/>
          <w:sz w:val="32"/>
          <w:szCs w:val="32"/>
          <w:lang w:val="zh-CN"/>
        </w:rPr>
        <w:t>万元，项目支出</w:t>
      </w:r>
      <w:r>
        <w:rPr>
          <w:rFonts w:hint="eastAsia" w:ascii="Times New Roman" w:hAnsi="Times New Roman" w:eastAsia="方正仿宋_GBK" w:cs="Times New Roman"/>
          <w:sz w:val="32"/>
          <w:szCs w:val="32"/>
        </w:rPr>
        <w:t>2023.57</w:t>
      </w:r>
      <w:r>
        <w:rPr>
          <w:rFonts w:hint="eastAsia" w:ascii="Times New Roman" w:hAnsi="Times New Roman" w:eastAsia="方正仿宋_GBK" w:cs="Times New Roman"/>
          <w:sz w:val="32"/>
          <w:szCs w:val="32"/>
          <w:lang w:val="zh-CN"/>
        </w:rPr>
        <w:t>万元，调增</w:t>
      </w:r>
      <w:r>
        <w:rPr>
          <w:rFonts w:hint="eastAsia" w:ascii="Times New Roman" w:hAnsi="Times New Roman" w:eastAsia="方正仿宋_GBK" w:cs="Times New Roman"/>
          <w:sz w:val="32"/>
          <w:szCs w:val="32"/>
        </w:rPr>
        <w:t>10912.22</w:t>
      </w:r>
      <w:r>
        <w:rPr>
          <w:rFonts w:hint="eastAsia" w:ascii="Times New Roman" w:hAnsi="Times New Roman" w:eastAsia="方正仿宋_GBK" w:cs="Times New Roman"/>
          <w:sz w:val="32"/>
          <w:szCs w:val="32"/>
          <w:lang w:val="zh-CN"/>
        </w:rPr>
        <w:t>万元，主要原因是</w:t>
      </w:r>
      <w:r>
        <w:rPr>
          <w:rFonts w:ascii="Times New Roman" w:hAnsi="方正仿宋_GBK" w:eastAsia="方正仿宋_GBK" w:cs="Times New Roman"/>
          <w:kern w:val="0"/>
          <w:sz w:val="32"/>
          <w:szCs w:val="32"/>
          <w:lang w:val="zh-CN"/>
        </w:rPr>
        <w:t>基本支出增人增资、年中追加项目经费</w:t>
      </w:r>
      <w:r>
        <w:rPr>
          <w:rFonts w:hint="eastAsia" w:ascii="Times New Roman" w:hAnsi="Times New Roman" w:eastAsia="方正仿宋_GBK" w:cs="Times New Roman"/>
          <w:sz w:val="32"/>
          <w:szCs w:val="32"/>
        </w:rPr>
        <w:t>等</w:t>
      </w:r>
      <w:r>
        <w:rPr>
          <w:rFonts w:hint="eastAsia" w:ascii="Times New Roman" w:hAnsi="Times New Roman" w:eastAsia="方正仿宋_GBK" w:cs="Times New Roman"/>
          <w:sz w:val="32"/>
          <w:szCs w:val="32"/>
          <w:lang w:val="zh-CN"/>
        </w:rPr>
        <w:t>。</w:t>
      </w:r>
      <w:r>
        <w:rPr>
          <w:rFonts w:ascii="Times New Roman" w:hAnsi="方正仿宋_GBK" w:eastAsia="方正仿宋_GBK" w:cs="Times New Roman"/>
          <w:kern w:val="0"/>
          <w:sz w:val="32"/>
          <w:szCs w:val="32"/>
          <w:lang w:val="zh-CN"/>
        </w:rPr>
        <w:t>决算支出数为</w:t>
      </w:r>
      <w:r>
        <w:rPr>
          <w:rFonts w:hint="eastAsia" w:ascii="Times New Roman" w:hAnsi="Times New Roman" w:eastAsia="方正仿宋_GBK" w:cs="Times New Roman"/>
          <w:kern w:val="0"/>
          <w:sz w:val="32"/>
          <w:szCs w:val="32"/>
        </w:rPr>
        <w:t>81609.68</w:t>
      </w:r>
      <w:r>
        <w:rPr>
          <w:rFonts w:ascii="Times New Roman" w:hAnsi="方正仿宋_GBK" w:eastAsia="方正仿宋_GBK" w:cs="Times New Roman"/>
          <w:kern w:val="0"/>
          <w:sz w:val="32"/>
          <w:szCs w:val="32"/>
          <w:lang w:val="zh-CN"/>
        </w:rPr>
        <w:t>万元，其中基本支出</w:t>
      </w:r>
      <w:r>
        <w:rPr>
          <w:rFonts w:hint="eastAsia" w:ascii="Times New Roman" w:hAnsi="Times New Roman" w:eastAsia="方正仿宋_GBK" w:cs="Times New Roman"/>
          <w:kern w:val="0"/>
          <w:sz w:val="32"/>
          <w:szCs w:val="32"/>
        </w:rPr>
        <w:t>79586.11</w:t>
      </w:r>
      <w:r>
        <w:rPr>
          <w:rFonts w:ascii="Times New Roman" w:hAnsi="方正仿宋_GBK" w:eastAsia="方正仿宋_GBK" w:cs="Times New Roman"/>
          <w:kern w:val="0"/>
          <w:sz w:val="32"/>
          <w:szCs w:val="32"/>
          <w:lang w:val="zh-CN"/>
        </w:rPr>
        <w:t>万元，项目支出</w:t>
      </w:r>
      <w:r>
        <w:rPr>
          <w:rFonts w:hint="eastAsia" w:ascii="Times New Roman" w:hAnsi="Times New Roman" w:eastAsia="方正仿宋_GBK" w:cs="Times New Roman"/>
          <w:kern w:val="0"/>
          <w:sz w:val="32"/>
          <w:szCs w:val="32"/>
        </w:rPr>
        <w:t>2023.57</w:t>
      </w:r>
      <w:r>
        <w:rPr>
          <w:rFonts w:ascii="Times New Roman" w:hAnsi="方正仿宋_GBK" w:eastAsia="方正仿宋_GBK" w:cs="Times New Roman"/>
          <w:kern w:val="0"/>
          <w:sz w:val="32"/>
          <w:szCs w:val="32"/>
          <w:lang w:val="zh-CN"/>
        </w:rPr>
        <w:t>万元。</w:t>
      </w:r>
      <w:r>
        <w:rPr>
          <w:rFonts w:ascii="Times New Roman" w:hAnsi="方正仿宋_GBK" w:eastAsia="方正仿宋_GBK" w:cs="Times New Roman"/>
          <w:kern w:val="0"/>
          <w:sz w:val="32"/>
          <w:szCs w:val="32"/>
        </w:rPr>
        <w:t>详见表</w:t>
      </w:r>
      <w:r>
        <w:rPr>
          <w:rFonts w:ascii="Times New Roman" w:hAnsi="Times New Roman" w:eastAsia="方正仿宋_GBK" w:cs="Times New Roman"/>
          <w:kern w:val="0"/>
          <w:sz w:val="32"/>
          <w:szCs w:val="32"/>
        </w:rPr>
        <w:t>1</w:t>
      </w:r>
      <w:r>
        <w:rPr>
          <w:rFonts w:hint="eastAsia" w:ascii="Times New Roman" w:hAnsi="Times New Roman" w:eastAsia="方正仿宋_GBK" w:cs="Times New Roman"/>
          <w:kern w:val="0"/>
          <w:sz w:val="32"/>
          <w:szCs w:val="32"/>
        </w:rPr>
        <w:t>。</w:t>
      </w:r>
    </w:p>
    <w:p>
      <w:r>
        <w:rPr>
          <w:rFonts w:ascii="Times New Roman" w:cs="Times New Roman"/>
        </w:rPr>
        <w:t>表</w:t>
      </w:r>
      <w:r>
        <w:rPr>
          <w:rFonts w:ascii="Times New Roman" w:hAnsi="Times New Roman" w:cs="Times New Roman"/>
        </w:rPr>
        <w:t>1</w:t>
      </w:r>
    </w:p>
    <w:tbl>
      <w:tblPr>
        <w:tblStyle w:val="9"/>
        <w:tblW w:w="8925" w:type="dxa"/>
        <w:tblInd w:w="0" w:type="dxa"/>
        <w:tblLayout w:type="autofit"/>
        <w:tblCellMar>
          <w:top w:w="0" w:type="dxa"/>
          <w:left w:w="0" w:type="dxa"/>
          <w:bottom w:w="0" w:type="dxa"/>
          <w:right w:w="0" w:type="dxa"/>
        </w:tblCellMar>
      </w:tblPr>
      <w:tblGrid>
        <w:gridCol w:w="1437"/>
        <w:gridCol w:w="1785"/>
        <w:gridCol w:w="2133"/>
        <w:gridCol w:w="1785"/>
        <w:gridCol w:w="1785"/>
      </w:tblGrid>
      <w:tr>
        <w:tblPrEx>
          <w:tblCellMar>
            <w:top w:w="0" w:type="dxa"/>
            <w:left w:w="0" w:type="dxa"/>
            <w:bottom w:w="0" w:type="dxa"/>
            <w:right w:w="0" w:type="dxa"/>
          </w:tblCellMar>
        </w:tblPrEx>
        <w:trPr>
          <w:trHeight w:val="600" w:hRule="atLeast"/>
        </w:trPr>
        <w:tc>
          <w:tcPr>
            <w:tcW w:w="8925" w:type="dxa"/>
            <w:gridSpan w:val="5"/>
            <w:tcBorders>
              <w:top w:val="nil"/>
              <w:left w:val="nil"/>
              <w:bottom w:val="nil"/>
              <w:right w:val="nil"/>
            </w:tcBorders>
            <w:noWrap/>
            <w:tcMar>
              <w:top w:w="15" w:type="dxa"/>
              <w:left w:w="15" w:type="dxa"/>
              <w:right w:w="15" w:type="dxa"/>
            </w:tcMar>
            <w:vAlign w:val="center"/>
          </w:tcPr>
          <w:p>
            <w:pPr>
              <w:widowControl/>
              <w:jc w:val="center"/>
              <w:textAlignment w:val="center"/>
              <w:rPr>
                <w:rFonts w:ascii="Times New Roman" w:hAnsi="Times New Roman" w:eastAsia="仿宋_GB2312" w:cs="Times New Roman"/>
                <w:color w:val="000000"/>
                <w:sz w:val="30"/>
                <w:szCs w:val="30"/>
              </w:rPr>
            </w:pPr>
            <w:r>
              <w:rPr>
                <w:rFonts w:ascii="Times New Roman" w:hAnsi="方正仿宋_GBK" w:eastAsia="方正仿宋_GBK" w:cs="Times New Roman"/>
                <w:kern w:val="0"/>
                <w:sz w:val="30"/>
                <w:szCs w:val="30"/>
              </w:rPr>
              <w:t>2025年部门预算安排与支出同比情况</w:t>
            </w:r>
          </w:p>
        </w:tc>
      </w:tr>
      <w:tr>
        <w:tblPrEx>
          <w:tblCellMar>
            <w:top w:w="0" w:type="dxa"/>
            <w:left w:w="0" w:type="dxa"/>
            <w:bottom w:w="0" w:type="dxa"/>
            <w:right w:w="0" w:type="dxa"/>
          </w:tblCellMar>
        </w:tblPrEx>
        <w:trPr>
          <w:trHeight w:val="360" w:hRule="atLeast"/>
        </w:trPr>
        <w:tc>
          <w:tcPr>
            <w:tcW w:w="0" w:type="auto"/>
            <w:tcBorders>
              <w:top w:val="nil"/>
              <w:left w:val="nil"/>
              <w:bottom w:val="nil"/>
              <w:right w:val="nil"/>
            </w:tcBorders>
            <w:noWrap/>
            <w:tcMar>
              <w:top w:w="15" w:type="dxa"/>
              <w:left w:w="15" w:type="dxa"/>
              <w:right w:w="15" w:type="dxa"/>
            </w:tcMar>
            <w:vAlign w:val="center"/>
          </w:tcPr>
          <w:p>
            <w:pPr>
              <w:rPr>
                <w:rFonts w:ascii="Times New Roman" w:hAnsi="Times New Roman" w:eastAsia="楷体" w:cs="Times New Roman"/>
                <w:color w:val="000000"/>
                <w:sz w:val="22"/>
              </w:rPr>
            </w:pPr>
          </w:p>
        </w:tc>
        <w:tc>
          <w:tcPr>
            <w:tcW w:w="0" w:type="auto"/>
            <w:tcBorders>
              <w:top w:val="nil"/>
              <w:left w:val="nil"/>
              <w:bottom w:val="nil"/>
              <w:right w:val="nil"/>
            </w:tcBorders>
            <w:noWrap/>
            <w:tcMar>
              <w:top w:w="15" w:type="dxa"/>
              <w:left w:w="15" w:type="dxa"/>
              <w:right w:w="15" w:type="dxa"/>
            </w:tcMar>
            <w:vAlign w:val="center"/>
          </w:tcPr>
          <w:p>
            <w:pPr>
              <w:rPr>
                <w:rFonts w:ascii="Times New Roman" w:hAnsi="Times New Roman" w:eastAsia="楷体" w:cs="Times New Roman"/>
                <w:color w:val="000000"/>
                <w:sz w:val="22"/>
              </w:rPr>
            </w:pPr>
          </w:p>
        </w:tc>
        <w:tc>
          <w:tcPr>
            <w:tcW w:w="0" w:type="auto"/>
            <w:tcBorders>
              <w:top w:val="nil"/>
              <w:left w:val="nil"/>
              <w:bottom w:val="nil"/>
              <w:right w:val="nil"/>
            </w:tcBorders>
            <w:noWrap/>
            <w:tcMar>
              <w:top w:w="15" w:type="dxa"/>
              <w:left w:w="15" w:type="dxa"/>
              <w:right w:w="15" w:type="dxa"/>
            </w:tcMar>
            <w:vAlign w:val="center"/>
          </w:tcPr>
          <w:p>
            <w:pPr>
              <w:rPr>
                <w:rFonts w:ascii="Times New Roman" w:hAnsi="Times New Roman" w:eastAsia="楷体" w:cs="Times New Roman"/>
                <w:color w:val="000000"/>
                <w:sz w:val="22"/>
              </w:rPr>
            </w:pPr>
          </w:p>
        </w:tc>
        <w:tc>
          <w:tcPr>
            <w:tcW w:w="0" w:type="auto"/>
            <w:tcBorders>
              <w:top w:val="nil"/>
              <w:left w:val="nil"/>
              <w:bottom w:val="nil"/>
              <w:right w:val="nil"/>
            </w:tcBorders>
            <w:noWrap/>
            <w:tcMar>
              <w:top w:w="15" w:type="dxa"/>
              <w:left w:w="15" w:type="dxa"/>
              <w:right w:w="15" w:type="dxa"/>
            </w:tcMar>
            <w:vAlign w:val="center"/>
          </w:tcPr>
          <w:p>
            <w:pPr>
              <w:rPr>
                <w:rFonts w:ascii="Times New Roman" w:hAnsi="Times New Roman" w:eastAsia="楷体" w:cs="Times New Roman"/>
                <w:color w:val="000000"/>
                <w:sz w:val="22"/>
              </w:rPr>
            </w:pPr>
          </w:p>
        </w:tc>
        <w:tc>
          <w:tcPr>
            <w:tcW w:w="0" w:type="auto"/>
            <w:tcBorders>
              <w:top w:val="nil"/>
              <w:left w:val="nil"/>
              <w:bottom w:val="nil"/>
              <w:right w:val="nil"/>
            </w:tcBorders>
            <w:noWrap/>
            <w:tcMar>
              <w:top w:w="15" w:type="dxa"/>
              <w:left w:w="15" w:type="dxa"/>
              <w:right w:w="15" w:type="dxa"/>
            </w:tcMar>
            <w:vAlign w:val="center"/>
          </w:tcPr>
          <w:p>
            <w:pPr>
              <w:widowControl/>
              <w:jc w:val="right"/>
              <w:textAlignment w:val="center"/>
              <w:rPr>
                <w:rFonts w:ascii="Times New Roman" w:hAnsi="Times New Roman" w:eastAsia="楷体" w:cs="Times New Roman"/>
                <w:color w:val="000000"/>
                <w:sz w:val="20"/>
                <w:szCs w:val="20"/>
              </w:rPr>
            </w:pPr>
            <w:r>
              <w:rPr>
                <w:rFonts w:ascii="Times New Roman" w:hAnsi="楷体" w:eastAsia="楷体" w:cs="Times New Roman"/>
                <w:color w:val="000000"/>
                <w:kern w:val="0"/>
                <w:sz w:val="20"/>
                <w:szCs w:val="20"/>
              </w:rPr>
              <w:t>单位：万元</w:t>
            </w:r>
          </w:p>
        </w:tc>
      </w:tr>
      <w:tr>
        <w:tblPrEx>
          <w:tblCellMar>
            <w:top w:w="0" w:type="dxa"/>
            <w:left w:w="0" w:type="dxa"/>
            <w:bottom w:w="0" w:type="dxa"/>
            <w:right w:w="0"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黑体" w:cs="Times New Roman"/>
                <w:color w:val="000000"/>
                <w:sz w:val="22"/>
              </w:rPr>
            </w:pPr>
            <w:r>
              <w:rPr>
                <w:rFonts w:ascii="Times New Roman" w:hAnsi="黑体" w:eastAsia="黑体" w:cs="Times New Roman"/>
                <w:color w:val="000000"/>
                <w:kern w:val="0"/>
                <w:sz w:val="22"/>
              </w:rPr>
              <w:t>支出类别</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黑体" w:cs="Times New Roman"/>
                <w:color w:val="000000"/>
                <w:sz w:val="22"/>
              </w:rPr>
            </w:pPr>
            <w:r>
              <w:rPr>
                <w:rFonts w:ascii="Times New Roman" w:hAnsi="黑体" w:eastAsia="黑体" w:cs="Times New Roman"/>
                <w:color w:val="000000"/>
                <w:kern w:val="0"/>
                <w:sz w:val="22"/>
              </w:rPr>
              <w:t>年初预算数</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黑体" w:cs="Times New Roman"/>
                <w:color w:val="000000"/>
                <w:sz w:val="22"/>
              </w:rPr>
            </w:pPr>
            <w:r>
              <w:rPr>
                <w:rFonts w:ascii="Times New Roman" w:hAnsi="黑体" w:eastAsia="黑体" w:cs="Times New Roman"/>
                <w:color w:val="000000"/>
                <w:kern w:val="0"/>
                <w:sz w:val="22"/>
              </w:rPr>
              <w:t>调整后预算数</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黑体" w:cs="Times New Roman"/>
                <w:color w:val="000000"/>
                <w:sz w:val="22"/>
              </w:rPr>
            </w:pPr>
            <w:r>
              <w:rPr>
                <w:rFonts w:ascii="Times New Roman" w:hAnsi="黑体" w:eastAsia="黑体" w:cs="Times New Roman"/>
                <w:color w:val="000000"/>
                <w:kern w:val="0"/>
                <w:sz w:val="22"/>
              </w:rPr>
              <w:t>实际支出数</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黑体" w:cs="Times New Roman"/>
                <w:color w:val="000000"/>
                <w:sz w:val="22"/>
              </w:rPr>
            </w:pPr>
            <w:r>
              <w:rPr>
                <w:rFonts w:ascii="Times New Roman" w:hAnsi="黑体" w:eastAsia="黑体" w:cs="Times New Roman"/>
                <w:color w:val="000000"/>
                <w:kern w:val="0"/>
                <w:sz w:val="22"/>
              </w:rPr>
              <w:t>预算执行率</w:t>
            </w:r>
          </w:p>
        </w:tc>
      </w:tr>
      <w:tr>
        <w:tblPrEx>
          <w:tblCellMar>
            <w:top w:w="0" w:type="dxa"/>
            <w:left w:w="0" w:type="dxa"/>
            <w:bottom w:w="0" w:type="dxa"/>
            <w:right w:w="0"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方正楷体_GBK" w:cs="Times New Roman"/>
                <w:color w:val="000000"/>
                <w:sz w:val="22"/>
              </w:rPr>
            </w:pPr>
            <w:r>
              <w:rPr>
                <w:rFonts w:ascii="Times New Roman" w:hAnsi="Times New Roman" w:eastAsia="方正楷体_GBK" w:cs="Times New Roman"/>
                <w:color w:val="000000"/>
                <w:kern w:val="0"/>
                <w:sz w:val="22"/>
              </w:rPr>
              <w:t>基本支出</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69073.65</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79586.11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79586.11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100</w:t>
            </w:r>
            <w:r>
              <w:rPr>
                <w:rFonts w:ascii="Times New Roman" w:hAnsi="Times New Roman" w:eastAsia="楷体" w:cs="Times New Roman"/>
                <w:color w:val="000000"/>
                <w:kern w:val="0"/>
                <w:sz w:val="22"/>
              </w:rPr>
              <w:t>%</w:t>
            </w:r>
          </w:p>
        </w:tc>
      </w:tr>
      <w:tr>
        <w:tblPrEx>
          <w:tblCellMar>
            <w:top w:w="0" w:type="dxa"/>
            <w:left w:w="0" w:type="dxa"/>
            <w:bottom w:w="0" w:type="dxa"/>
            <w:right w:w="0"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方正楷体_GBK" w:cs="Times New Roman"/>
                <w:color w:val="000000"/>
                <w:sz w:val="22"/>
              </w:rPr>
            </w:pPr>
            <w:r>
              <w:rPr>
                <w:rFonts w:ascii="Times New Roman" w:hAnsi="Times New Roman" w:eastAsia="方正楷体_GBK" w:cs="Times New Roman"/>
                <w:color w:val="000000"/>
                <w:kern w:val="0"/>
                <w:sz w:val="22"/>
              </w:rPr>
              <w:t>项目支出</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1623.81</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2023.57</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2023.57</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100</w:t>
            </w:r>
            <w:r>
              <w:rPr>
                <w:rFonts w:ascii="Times New Roman" w:hAnsi="Times New Roman" w:eastAsia="楷体" w:cs="Times New Roman"/>
                <w:color w:val="000000"/>
                <w:kern w:val="0"/>
                <w:sz w:val="22"/>
              </w:rPr>
              <w:t>%</w:t>
            </w:r>
          </w:p>
        </w:tc>
      </w:tr>
      <w:tr>
        <w:tblPrEx>
          <w:tblCellMar>
            <w:top w:w="0" w:type="dxa"/>
            <w:left w:w="0" w:type="dxa"/>
            <w:bottom w:w="0" w:type="dxa"/>
            <w:right w:w="0" w:type="dxa"/>
          </w:tblCellMar>
        </w:tblPrEx>
        <w:trPr>
          <w:trHeight w:val="540" w:hRule="atLeast"/>
        </w:trPr>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方正楷体_GBK" w:cs="Times New Roman"/>
                <w:color w:val="000000"/>
                <w:sz w:val="22"/>
              </w:rPr>
            </w:pPr>
            <w:r>
              <w:rPr>
                <w:rFonts w:ascii="Times New Roman" w:hAnsi="Times New Roman" w:eastAsia="方正楷体_GBK" w:cs="Times New Roman"/>
                <w:color w:val="000000"/>
                <w:kern w:val="0"/>
                <w:sz w:val="22"/>
              </w:rPr>
              <w:t>合计</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70697.46</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81609.68</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81609.68</w:t>
            </w:r>
          </w:p>
        </w:tc>
        <w:tc>
          <w:tcPr>
            <w:tcW w:w="0" w:type="auto"/>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pPr>
              <w:widowControl/>
              <w:jc w:val="center"/>
              <w:textAlignment w:val="center"/>
              <w:rPr>
                <w:rFonts w:ascii="Times New Roman" w:hAnsi="Times New Roman" w:eastAsia="楷体" w:cs="Times New Roman"/>
                <w:color w:val="000000"/>
                <w:sz w:val="22"/>
              </w:rPr>
            </w:pPr>
            <w:r>
              <w:rPr>
                <w:rFonts w:hint="eastAsia" w:ascii="Times New Roman" w:hAnsi="Times New Roman" w:eastAsia="楷体" w:cs="Times New Roman"/>
                <w:color w:val="000000"/>
                <w:kern w:val="0"/>
                <w:sz w:val="22"/>
              </w:rPr>
              <w:t>100</w:t>
            </w:r>
            <w:r>
              <w:rPr>
                <w:rFonts w:ascii="Times New Roman" w:hAnsi="Times New Roman" w:eastAsia="楷体" w:cs="Times New Roman"/>
                <w:color w:val="000000"/>
                <w:kern w:val="0"/>
                <w:sz w:val="22"/>
              </w:rPr>
              <w:t>%</w:t>
            </w:r>
          </w:p>
        </w:tc>
      </w:tr>
    </w:tbl>
    <w:p>
      <w:pPr>
        <w:spacing w:line="560" w:lineRule="exact"/>
        <w:ind w:firstLine="640" w:firstLineChars="200"/>
        <w:rPr>
          <w:rFonts w:ascii="Times New Roman" w:hAnsi="Times New Roman" w:eastAsia="方正仿宋_GBK" w:cs="Times New Roman"/>
          <w:sz w:val="32"/>
          <w:szCs w:val="32"/>
          <w:lang w:val="zh-CN"/>
        </w:rPr>
      </w:pPr>
    </w:p>
    <w:p>
      <w:pPr>
        <w:numPr>
          <w:ilvl w:val="0"/>
          <w:numId w:val="2"/>
        </w:numPr>
        <w:spacing w:line="560" w:lineRule="exact"/>
        <w:ind w:firstLine="640"/>
        <w:rPr>
          <w:rFonts w:ascii="Times New Roman" w:hAnsi="Times New Roman" w:eastAsia="方正仿宋_GBK" w:cs="Times New Roman"/>
          <w:color w:val="000000"/>
          <w:kern w:val="0"/>
          <w:sz w:val="32"/>
          <w:szCs w:val="32"/>
        </w:rPr>
      </w:pPr>
      <w:r>
        <w:rPr>
          <w:rFonts w:hint="eastAsia" w:ascii="Times New Roman" w:hAnsi="Times New Roman" w:eastAsia="方正楷体_GBK" w:cs="Times New Roman"/>
          <w:sz w:val="32"/>
          <w:szCs w:val="32"/>
        </w:rPr>
        <w:t>三公经费情况</w:t>
      </w:r>
    </w:p>
    <w:p>
      <w:pPr>
        <w:spacing w:line="560" w:lineRule="exact"/>
        <w:ind w:firstLine="640" w:firstLineChars="200"/>
      </w:pPr>
      <w:r>
        <w:rPr>
          <w:rFonts w:hint="eastAsia" w:ascii="Times New Roman" w:hAnsi="Times New Roman" w:eastAsia="方正仿宋_GBK" w:cs="Times New Roman"/>
          <w:sz w:val="32"/>
          <w:szCs w:val="32"/>
          <w:lang w:val="zh-CN"/>
        </w:rPr>
        <w:t>20</w:t>
      </w:r>
      <w:r>
        <w:rPr>
          <w:rFonts w:hint="eastAsia" w:ascii="Times New Roman" w:hAnsi="Times New Roman" w:eastAsia="方正仿宋_GBK" w:cs="Times New Roman"/>
          <w:sz w:val="32"/>
          <w:szCs w:val="32"/>
        </w:rPr>
        <w:t>25</w:t>
      </w:r>
      <w:r>
        <w:rPr>
          <w:rFonts w:hint="eastAsia" w:ascii="Times New Roman" w:hAnsi="Times New Roman" w:eastAsia="方正仿宋_GBK" w:cs="Times New Roman"/>
          <w:sz w:val="32"/>
          <w:szCs w:val="32"/>
          <w:lang w:val="zh-CN"/>
        </w:rPr>
        <w:t>年度</w:t>
      </w:r>
      <w:r>
        <w:rPr>
          <w:rFonts w:hint="eastAsia" w:ascii="Times New Roman" w:hAnsi="Times New Roman" w:eastAsia="方正仿宋_GBK" w:cs="Times New Roman"/>
          <w:sz w:val="32"/>
          <w:szCs w:val="32"/>
        </w:rPr>
        <w:t>南京市公安局鼓楼分局三公经费预算安排1320.94</w:t>
      </w:r>
      <w:r>
        <w:rPr>
          <w:rFonts w:hint="eastAsia" w:ascii="Times New Roman" w:hAnsi="Times New Roman" w:eastAsia="方正仿宋_GBK" w:cs="Times New Roman"/>
          <w:sz w:val="32"/>
          <w:szCs w:val="32"/>
          <w:lang w:val="zh-CN"/>
        </w:rPr>
        <w:t>万元，</w:t>
      </w:r>
      <w:r>
        <w:rPr>
          <w:rFonts w:hint="eastAsia" w:ascii="Times New Roman" w:hAnsi="Times New Roman" w:eastAsia="方正仿宋_GBK" w:cs="Times New Roman"/>
          <w:sz w:val="32"/>
          <w:szCs w:val="32"/>
        </w:rPr>
        <w:t>决算支出1004.8万元，预算执行率76.07%。详见表2。</w:t>
      </w:r>
    </w:p>
    <w:p>
      <w:pPr>
        <w:rPr>
          <w:rFonts w:ascii="Times New Roman" w:cs="Times New Roman"/>
        </w:rPr>
      </w:pPr>
      <w:r>
        <w:rPr>
          <w:rFonts w:ascii="Times New Roman" w:cs="Times New Roman"/>
        </w:rPr>
        <w:t>表</w:t>
      </w:r>
      <w:r>
        <w:rPr>
          <w:rFonts w:ascii="Times New Roman" w:hAnsi="Times New Roman" w:cs="Times New Roman"/>
        </w:rPr>
        <w:t>2</w:t>
      </w:r>
      <w:r>
        <w:rPr>
          <w:rFonts w:ascii="Times New Roman" w:cs="Times New Roman"/>
        </w:rPr>
        <w:t>：</w:t>
      </w:r>
    </w:p>
    <w:p>
      <w:pPr>
        <w:widowControl/>
        <w:jc w:val="center"/>
        <w:textAlignment w:val="center"/>
      </w:pPr>
      <w:r>
        <w:rPr>
          <w:rFonts w:ascii="Times New Roman" w:hAnsi="方正仿宋_GBK" w:eastAsia="方正仿宋_GBK" w:cs="Times New Roman"/>
          <w:kern w:val="0"/>
          <w:sz w:val="30"/>
          <w:szCs w:val="30"/>
        </w:rPr>
        <w:t>2025年“三公”经费预算与执行情况表</w:t>
      </w:r>
    </w:p>
    <w:tbl>
      <w:tblPr>
        <w:tblStyle w:val="9"/>
        <w:tblW w:w="0" w:type="auto"/>
        <w:tblInd w:w="0" w:type="dxa"/>
        <w:tblLayout w:type="fixed"/>
        <w:tblCellMar>
          <w:top w:w="0" w:type="dxa"/>
          <w:left w:w="108" w:type="dxa"/>
          <w:bottom w:w="0" w:type="dxa"/>
          <w:right w:w="108" w:type="dxa"/>
        </w:tblCellMar>
      </w:tblPr>
      <w:tblGrid>
        <w:gridCol w:w="4785"/>
        <w:gridCol w:w="1844"/>
        <w:gridCol w:w="1844"/>
      </w:tblGrid>
      <w:tr>
        <w:tblPrEx>
          <w:tblCellMar>
            <w:top w:w="0" w:type="dxa"/>
            <w:left w:w="108" w:type="dxa"/>
            <w:bottom w:w="0" w:type="dxa"/>
            <w:right w:w="108" w:type="dxa"/>
          </w:tblCellMar>
        </w:tblPrEx>
        <w:trPr>
          <w:trHeight w:val="270" w:hRule="atLeast"/>
        </w:trPr>
        <w:tc>
          <w:tcPr>
            <w:tcW w:w="4785" w:type="dxa"/>
            <w:tcBorders>
              <w:top w:val="single" w:color="auto" w:sz="4" w:space="0"/>
              <w:left w:val="single" w:color="auto" w:sz="4" w:space="0"/>
              <w:bottom w:val="single" w:color="auto" w:sz="4" w:space="0"/>
              <w:right w:val="single" w:color="auto" w:sz="4" w:space="0"/>
            </w:tcBorders>
            <w:shd w:val="clear" w:color="000000" w:fill="FFFFFF"/>
            <w:noWrap/>
          </w:tcPr>
          <w:p>
            <w:pPr>
              <w:jc w:val="center"/>
              <w:rPr>
                <w:rFonts w:ascii="Times New Roman" w:hAnsi="Times New Roman" w:eastAsia="黑体" w:cs="Times New Roman"/>
                <w:kern w:val="0"/>
              </w:rPr>
            </w:pPr>
            <w:r>
              <w:rPr>
                <w:rFonts w:ascii="Times New Roman" w:hAnsi="黑体" w:eastAsia="黑体" w:cs="Times New Roman"/>
                <w:kern w:val="0"/>
              </w:rPr>
              <w:t>项目</w:t>
            </w:r>
          </w:p>
        </w:tc>
        <w:tc>
          <w:tcPr>
            <w:tcW w:w="1844" w:type="dxa"/>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黑体" w:cs="Times New Roman"/>
                <w:kern w:val="0"/>
              </w:rPr>
            </w:pPr>
            <w:r>
              <w:rPr>
                <w:rFonts w:ascii="Times New Roman" w:hAnsi="黑体" w:eastAsia="黑体" w:cs="Times New Roman"/>
                <w:kern w:val="0"/>
              </w:rPr>
              <w:t>预算数</w:t>
            </w:r>
          </w:p>
        </w:tc>
        <w:tc>
          <w:tcPr>
            <w:tcW w:w="1844" w:type="dxa"/>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黑体" w:cs="Times New Roman"/>
                <w:kern w:val="0"/>
              </w:rPr>
            </w:pPr>
            <w:r>
              <w:rPr>
                <w:rFonts w:ascii="Times New Roman" w:hAnsi="黑体" w:eastAsia="黑体" w:cs="Times New Roman"/>
                <w:kern w:val="0"/>
              </w:rPr>
              <w:t>决算数</w:t>
            </w:r>
          </w:p>
        </w:tc>
      </w:tr>
      <w:tr>
        <w:tblPrEx>
          <w:tblCellMar>
            <w:top w:w="0" w:type="dxa"/>
            <w:left w:w="108" w:type="dxa"/>
            <w:bottom w:w="0" w:type="dxa"/>
            <w:right w:w="108" w:type="dxa"/>
          </w:tblCellMar>
        </w:tblPrEx>
        <w:trPr>
          <w:trHeight w:val="334" w:hRule="exact"/>
        </w:trPr>
        <w:tc>
          <w:tcPr>
            <w:tcW w:w="4785" w:type="dxa"/>
            <w:tcBorders>
              <w:top w:val="nil"/>
              <w:left w:val="single" w:color="auto" w:sz="4" w:space="0"/>
              <w:bottom w:val="single" w:color="auto" w:sz="4" w:space="0"/>
              <w:right w:val="single" w:color="auto" w:sz="4" w:space="0"/>
            </w:tcBorders>
            <w:shd w:val="clear" w:color="000000" w:fill="FFFFFF"/>
            <w:noWrap/>
            <w:vAlign w:val="center"/>
          </w:tcPr>
          <w:p>
            <w:pPr>
              <w:widowControl/>
              <w:autoSpaceDE w:val="0"/>
              <w:autoSpaceDN w:val="0"/>
              <w:jc w:val="left"/>
              <w:rPr>
                <w:rFonts w:ascii="Times New Roman" w:hAnsi="Times New Roman" w:eastAsia="方正楷体_GBK" w:cs="Times New Roman"/>
                <w:kern w:val="0"/>
                <w:sz w:val="18"/>
                <w:szCs w:val="18"/>
                <w:lang w:val="zh-CN" w:bidi="zh-CN"/>
              </w:rPr>
            </w:pPr>
            <w:r>
              <w:rPr>
                <w:rFonts w:ascii="Times New Roman" w:hAnsi="Times New Roman" w:eastAsia="方正楷体_GBK" w:cs="Times New Roman"/>
                <w:kern w:val="0"/>
                <w:sz w:val="18"/>
                <w:szCs w:val="18"/>
                <w:lang w:val="zh-CN" w:bidi="zh-CN"/>
              </w:rPr>
              <w:t>1.因公出国（境）费</w:t>
            </w:r>
          </w:p>
        </w:tc>
        <w:tc>
          <w:tcPr>
            <w:tcW w:w="1844"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方正楷体_GBK" w:cs="Times New Roman"/>
              </w:rPr>
            </w:pPr>
            <w:r>
              <w:rPr>
                <w:rFonts w:ascii="Times New Roman" w:hAnsi="Times New Roman" w:eastAsia="方正楷体_GBK" w:cs="Times New Roman"/>
              </w:rPr>
              <w:t>0</w:t>
            </w:r>
            <w:r>
              <w:rPr>
                <w:rFonts w:hint="eastAsia" w:ascii="Times New Roman" w:hAnsi="Times New Roman" w:eastAsia="方正楷体_GBK" w:cs="Times New Roman"/>
              </w:rPr>
              <w:t>.00</w:t>
            </w:r>
          </w:p>
        </w:tc>
        <w:tc>
          <w:tcPr>
            <w:tcW w:w="1844"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方正楷体_GBK" w:cs="Times New Roman"/>
              </w:rPr>
            </w:pPr>
            <w:r>
              <w:rPr>
                <w:rFonts w:ascii="Times New Roman" w:hAnsi="Times New Roman" w:eastAsia="方正楷体_GBK" w:cs="Times New Roman"/>
              </w:rPr>
              <w:t>0</w:t>
            </w:r>
            <w:r>
              <w:rPr>
                <w:rFonts w:hint="eastAsia" w:ascii="Times New Roman" w:hAnsi="Times New Roman" w:eastAsia="方正楷体_GBK" w:cs="Times New Roman"/>
              </w:rPr>
              <w:t>.00</w:t>
            </w:r>
          </w:p>
        </w:tc>
      </w:tr>
      <w:tr>
        <w:tblPrEx>
          <w:tblCellMar>
            <w:top w:w="0" w:type="dxa"/>
            <w:left w:w="108" w:type="dxa"/>
            <w:bottom w:w="0" w:type="dxa"/>
            <w:right w:w="108" w:type="dxa"/>
          </w:tblCellMar>
        </w:tblPrEx>
        <w:trPr>
          <w:trHeight w:val="340" w:hRule="exact"/>
        </w:trPr>
        <w:tc>
          <w:tcPr>
            <w:tcW w:w="4785" w:type="dxa"/>
            <w:tcBorders>
              <w:top w:val="nil"/>
              <w:left w:val="single" w:color="auto" w:sz="4" w:space="0"/>
              <w:bottom w:val="single" w:color="auto" w:sz="4" w:space="0"/>
              <w:right w:val="single" w:color="auto" w:sz="4" w:space="0"/>
            </w:tcBorders>
            <w:shd w:val="clear" w:color="000000" w:fill="FFFFFF"/>
            <w:noWrap/>
            <w:vAlign w:val="center"/>
          </w:tcPr>
          <w:p>
            <w:pPr>
              <w:widowControl/>
              <w:autoSpaceDE w:val="0"/>
              <w:autoSpaceDN w:val="0"/>
              <w:jc w:val="left"/>
              <w:rPr>
                <w:rFonts w:ascii="Times New Roman" w:hAnsi="Times New Roman" w:eastAsia="方正楷体_GBK" w:cs="Times New Roman"/>
                <w:kern w:val="0"/>
                <w:sz w:val="18"/>
                <w:szCs w:val="18"/>
                <w:lang w:val="zh-CN" w:bidi="zh-CN"/>
              </w:rPr>
            </w:pPr>
            <w:r>
              <w:rPr>
                <w:rFonts w:ascii="Times New Roman" w:hAnsi="Times New Roman" w:eastAsia="方正楷体_GBK" w:cs="Times New Roman"/>
                <w:kern w:val="0"/>
                <w:sz w:val="18"/>
                <w:szCs w:val="18"/>
                <w:lang w:val="zh-CN" w:bidi="zh-CN"/>
              </w:rPr>
              <w:t>2.公务接待费</w:t>
            </w:r>
          </w:p>
        </w:tc>
        <w:tc>
          <w:tcPr>
            <w:tcW w:w="1844"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方正楷体_GBK" w:cs="Times New Roman"/>
              </w:rPr>
            </w:pPr>
            <w:r>
              <w:rPr>
                <w:rFonts w:hint="eastAsia" w:ascii="Times New Roman" w:hAnsi="Times New Roman" w:eastAsia="方正楷体_GBK" w:cs="Times New Roman"/>
              </w:rPr>
              <w:t>5.00</w:t>
            </w:r>
          </w:p>
        </w:tc>
        <w:tc>
          <w:tcPr>
            <w:tcW w:w="1844"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方正楷体_GBK" w:cs="Times New Roman"/>
              </w:rPr>
            </w:pPr>
            <w:r>
              <w:rPr>
                <w:rFonts w:ascii="Times New Roman" w:hAnsi="Times New Roman" w:eastAsia="方正楷体_GBK" w:cs="Times New Roman"/>
              </w:rPr>
              <w:t>0</w:t>
            </w:r>
            <w:r>
              <w:rPr>
                <w:rFonts w:hint="eastAsia" w:ascii="Times New Roman" w:hAnsi="Times New Roman" w:eastAsia="方正楷体_GBK" w:cs="Times New Roman"/>
              </w:rPr>
              <w:t>.00</w:t>
            </w:r>
          </w:p>
        </w:tc>
      </w:tr>
      <w:tr>
        <w:tblPrEx>
          <w:tblCellMar>
            <w:top w:w="0" w:type="dxa"/>
            <w:left w:w="108" w:type="dxa"/>
            <w:bottom w:w="0" w:type="dxa"/>
            <w:right w:w="108" w:type="dxa"/>
          </w:tblCellMar>
        </w:tblPrEx>
        <w:trPr>
          <w:trHeight w:val="340" w:hRule="exact"/>
        </w:trPr>
        <w:tc>
          <w:tcPr>
            <w:tcW w:w="4785" w:type="dxa"/>
            <w:tcBorders>
              <w:top w:val="nil"/>
              <w:left w:val="single" w:color="auto" w:sz="4" w:space="0"/>
              <w:bottom w:val="single" w:color="auto" w:sz="4" w:space="0"/>
              <w:right w:val="single" w:color="auto" w:sz="4" w:space="0"/>
            </w:tcBorders>
            <w:shd w:val="clear" w:color="000000" w:fill="FFFFFF"/>
            <w:noWrap/>
            <w:vAlign w:val="center"/>
          </w:tcPr>
          <w:p>
            <w:pPr>
              <w:widowControl/>
              <w:autoSpaceDE w:val="0"/>
              <w:autoSpaceDN w:val="0"/>
              <w:jc w:val="left"/>
              <w:rPr>
                <w:rFonts w:ascii="Times New Roman" w:hAnsi="Times New Roman" w:eastAsia="方正楷体_GBK" w:cs="Times New Roman"/>
                <w:kern w:val="0"/>
                <w:sz w:val="18"/>
                <w:szCs w:val="18"/>
                <w:lang w:val="zh-CN" w:bidi="zh-CN"/>
              </w:rPr>
            </w:pPr>
            <w:r>
              <w:rPr>
                <w:rFonts w:ascii="Times New Roman" w:hAnsi="Times New Roman" w:eastAsia="方正楷体_GBK" w:cs="Times New Roman"/>
                <w:kern w:val="0"/>
                <w:sz w:val="18"/>
                <w:szCs w:val="18"/>
                <w:lang w:val="zh-CN" w:bidi="zh-CN"/>
              </w:rPr>
              <w:t>3.公务车辆购置及运行费</w:t>
            </w:r>
          </w:p>
        </w:tc>
        <w:tc>
          <w:tcPr>
            <w:tcW w:w="1844"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方正楷体_GBK" w:cs="Times New Roman"/>
              </w:rPr>
            </w:pPr>
            <w:r>
              <w:rPr>
                <w:rFonts w:hint="eastAsia" w:ascii="Times New Roman" w:hAnsi="Times New Roman" w:eastAsia="方正楷体_GBK" w:cs="Times New Roman"/>
              </w:rPr>
              <w:t>1315.94</w:t>
            </w:r>
          </w:p>
        </w:tc>
        <w:tc>
          <w:tcPr>
            <w:tcW w:w="1844" w:type="dxa"/>
            <w:tcBorders>
              <w:top w:val="nil"/>
              <w:left w:val="nil"/>
              <w:bottom w:val="single" w:color="auto" w:sz="4" w:space="0"/>
              <w:right w:val="single" w:color="auto" w:sz="4" w:space="0"/>
            </w:tcBorders>
            <w:shd w:val="clear" w:color="000000" w:fill="FFFFFF"/>
            <w:noWrap/>
            <w:vAlign w:val="center"/>
          </w:tcPr>
          <w:p>
            <w:pPr>
              <w:jc w:val="center"/>
              <w:rPr>
                <w:rFonts w:ascii="Times New Roman" w:hAnsi="Times New Roman" w:eastAsia="方正楷体_GBK" w:cs="Times New Roman"/>
              </w:rPr>
            </w:pPr>
            <w:r>
              <w:rPr>
                <w:rFonts w:hint="eastAsia" w:ascii="Times New Roman" w:hAnsi="Times New Roman" w:eastAsia="方正楷体_GBK" w:cs="Times New Roman"/>
              </w:rPr>
              <w:t>1004.8</w:t>
            </w:r>
          </w:p>
        </w:tc>
      </w:tr>
      <w:tr>
        <w:tblPrEx>
          <w:tblCellMar>
            <w:top w:w="0" w:type="dxa"/>
            <w:left w:w="108" w:type="dxa"/>
            <w:bottom w:w="0" w:type="dxa"/>
            <w:right w:w="108" w:type="dxa"/>
          </w:tblCellMar>
        </w:tblPrEx>
        <w:trPr>
          <w:trHeight w:val="340" w:hRule="exact"/>
        </w:trPr>
        <w:tc>
          <w:tcPr>
            <w:tcW w:w="4785" w:type="dxa"/>
            <w:tcBorders>
              <w:top w:val="nil"/>
              <w:left w:val="single" w:color="auto" w:sz="4" w:space="0"/>
              <w:bottom w:val="single" w:color="auto" w:sz="4" w:space="0"/>
              <w:right w:val="single" w:color="auto" w:sz="4" w:space="0"/>
            </w:tcBorders>
            <w:shd w:val="clear" w:color="000000" w:fill="FFFFFF"/>
            <w:noWrap/>
            <w:vAlign w:val="center"/>
          </w:tcPr>
          <w:p>
            <w:pPr>
              <w:widowControl/>
              <w:autoSpaceDE w:val="0"/>
              <w:autoSpaceDN w:val="0"/>
              <w:jc w:val="center"/>
              <w:rPr>
                <w:rFonts w:ascii="Times New Roman" w:hAnsi="Times New Roman" w:eastAsia="方正楷体_GBK" w:cs="Times New Roman"/>
                <w:kern w:val="0"/>
                <w:sz w:val="18"/>
                <w:szCs w:val="18"/>
                <w:lang w:val="zh-CN" w:bidi="zh-CN"/>
              </w:rPr>
            </w:pPr>
            <w:r>
              <w:rPr>
                <w:rFonts w:ascii="Times New Roman" w:hAnsi="Times New Roman" w:eastAsia="方正楷体_GBK" w:cs="Times New Roman"/>
                <w:kern w:val="0"/>
                <w:sz w:val="18"/>
                <w:szCs w:val="18"/>
                <w:lang w:val="zh-CN" w:bidi="zh-CN"/>
              </w:rPr>
              <w:t>合 计</w:t>
            </w:r>
          </w:p>
        </w:tc>
        <w:tc>
          <w:tcPr>
            <w:tcW w:w="1844" w:type="dxa"/>
            <w:tcBorders>
              <w:top w:val="nil"/>
              <w:left w:val="nil"/>
              <w:bottom w:val="single" w:color="auto" w:sz="4" w:space="0"/>
              <w:right w:val="single" w:color="auto" w:sz="4" w:space="0"/>
            </w:tcBorders>
            <w:shd w:val="clear" w:color="000000" w:fill="FFFFFF"/>
            <w:noWrap/>
            <w:vAlign w:val="center"/>
          </w:tcPr>
          <w:p>
            <w:pPr>
              <w:autoSpaceDE w:val="0"/>
              <w:autoSpaceDN w:val="0"/>
              <w:jc w:val="center"/>
              <w:rPr>
                <w:rFonts w:ascii="Times New Roman" w:hAnsi="Times New Roman" w:eastAsia="方正楷体_GBK" w:cs="Times New Roman"/>
                <w:kern w:val="0"/>
                <w:lang w:bidi="zh-CN"/>
              </w:rPr>
            </w:pPr>
            <w:r>
              <w:rPr>
                <w:rFonts w:hint="eastAsia" w:ascii="Times New Roman" w:hAnsi="Times New Roman" w:eastAsia="方正楷体_GBK" w:cs="Times New Roman"/>
                <w:kern w:val="0"/>
                <w:lang w:bidi="zh-CN"/>
              </w:rPr>
              <w:t>1320.94</w:t>
            </w:r>
          </w:p>
        </w:tc>
        <w:tc>
          <w:tcPr>
            <w:tcW w:w="1844" w:type="dxa"/>
            <w:tcBorders>
              <w:top w:val="nil"/>
              <w:left w:val="nil"/>
              <w:bottom w:val="single" w:color="auto" w:sz="4" w:space="0"/>
              <w:right w:val="single" w:color="auto" w:sz="4" w:space="0"/>
            </w:tcBorders>
            <w:shd w:val="clear" w:color="000000" w:fill="FFFFFF"/>
            <w:noWrap/>
            <w:vAlign w:val="center"/>
          </w:tcPr>
          <w:p>
            <w:pPr>
              <w:autoSpaceDE w:val="0"/>
              <w:autoSpaceDN w:val="0"/>
              <w:jc w:val="center"/>
              <w:rPr>
                <w:rFonts w:ascii="Times New Roman" w:hAnsi="Times New Roman" w:eastAsia="方正楷体_GBK" w:cs="Times New Roman"/>
                <w:kern w:val="0"/>
                <w:lang w:bidi="zh-CN"/>
              </w:rPr>
            </w:pPr>
            <w:r>
              <w:rPr>
                <w:rFonts w:hint="eastAsia" w:ascii="Times New Roman" w:hAnsi="Times New Roman" w:eastAsia="方正楷体_GBK" w:cs="Times New Roman"/>
                <w:kern w:val="0"/>
                <w:lang w:bidi="zh-CN"/>
              </w:rPr>
              <w:t>1004.8</w:t>
            </w:r>
          </w:p>
        </w:tc>
      </w:tr>
    </w:tbl>
    <w:p>
      <w:pPr>
        <w:pStyle w:val="2"/>
        <w:ind w:firstLine="420"/>
      </w:pPr>
    </w:p>
    <w:p>
      <w:pPr>
        <w:numPr>
          <w:ilvl w:val="0"/>
          <w:numId w:val="2"/>
        </w:numPr>
        <w:spacing w:line="560" w:lineRule="exact"/>
        <w:ind w:firstLine="640"/>
        <w:rPr>
          <w:rFonts w:ascii="Times New Roman" w:hAnsi="Times New Roman" w:eastAsia="方正仿宋_GBK" w:cs="Times New Roman"/>
          <w:color w:val="000000"/>
          <w:kern w:val="0"/>
          <w:sz w:val="32"/>
          <w:szCs w:val="32"/>
        </w:rPr>
      </w:pPr>
      <w:r>
        <w:rPr>
          <w:rFonts w:hint="eastAsia" w:ascii="Times New Roman" w:hAnsi="Times New Roman" w:eastAsia="方正楷体_GBK" w:cs="Times New Roman"/>
          <w:sz w:val="32"/>
          <w:szCs w:val="32"/>
        </w:rPr>
        <w:t>专项资金情况</w:t>
      </w:r>
    </w:p>
    <w:p>
      <w:pPr>
        <w:spacing w:line="560" w:lineRule="exact"/>
        <w:ind w:firstLine="640" w:firstLineChars="200"/>
        <w:rPr>
          <w:lang w:val="zh-CN"/>
        </w:rPr>
      </w:pPr>
      <w:r>
        <w:rPr>
          <w:rFonts w:hint="eastAsia" w:ascii="Times New Roman" w:hAnsi="方正仿宋_GBK" w:eastAsia="方正仿宋_GBK" w:cs="Times New Roman"/>
          <w:sz w:val="32"/>
          <w:szCs w:val="32"/>
        </w:rPr>
        <w:t>2025年</w:t>
      </w:r>
      <w:r>
        <w:rPr>
          <w:rFonts w:ascii="Times New Roman" w:hAnsi="方正仿宋_GBK" w:eastAsia="方正仿宋_GBK" w:cs="Times New Roman"/>
          <w:sz w:val="32"/>
          <w:szCs w:val="32"/>
          <w:lang w:val="zh-CN"/>
        </w:rPr>
        <w:t>南京市公安局</w:t>
      </w:r>
      <w:r>
        <w:rPr>
          <w:rFonts w:hint="eastAsia" w:ascii="Times New Roman" w:hAnsi="方正仿宋_GBK" w:eastAsia="方正仿宋_GBK" w:cs="Times New Roman"/>
          <w:sz w:val="32"/>
          <w:szCs w:val="32"/>
        </w:rPr>
        <w:t>鼓楼分局</w:t>
      </w:r>
      <w:r>
        <w:rPr>
          <w:rFonts w:hint="eastAsia" w:ascii="方正仿宋_GBK" w:hAnsi="宋体" w:eastAsia="方正仿宋_GBK"/>
          <w:sz w:val="32"/>
          <w:szCs w:val="32"/>
        </w:rPr>
        <w:t>无市级专项资金项目。</w:t>
      </w:r>
    </w:p>
    <w:p>
      <w:pPr>
        <w:numPr>
          <w:ilvl w:val="0"/>
          <w:numId w:val="3"/>
        </w:numPr>
        <w:spacing w:line="560" w:lineRule="exact"/>
        <w:ind w:firstLine="640" w:firstLineChars="200"/>
        <w:rPr>
          <w:rFonts w:ascii="Times New Roman" w:hAnsi="Times New Roman" w:eastAsia="方正仿宋_GBK" w:cs="Times New Roman"/>
          <w:b/>
          <w:bCs/>
          <w:color w:val="000000"/>
          <w:kern w:val="0"/>
          <w:sz w:val="32"/>
          <w:szCs w:val="32"/>
        </w:rPr>
      </w:pPr>
      <w:r>
        <w:rPr>
          <w:rFonts w:ascii="Times New Roman" w:hAnsi="Times New Roman" w:eastAsia="方正仿宋_GBK" w:cs="Times New Roman"/>
          <w:b/>
          <w:bCs/>
          <w:color w:val="000000"/>
          <w:kern w:val="0"/>
          <w:sz w:val="32"/>
          <w:szCs w:val="32"/>
        </w:rPr>
        <w:t>部门绩效目标</w:t>
      </w:r>
    </w:p>
    <w:p>
      <w:pPr>
        <w:widowControl/>
        <w:numPr>
          <w:ilvl w:val="0"/>
          <w:numId w:val="4"/>
        </w:numPr>
        <w:spacing w:line="560" w:lineRule="exact"/>
        <w:ind w:firstLine="640" w:firstLineChars="200"/>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中长期目标</w:t>
      </w:r>
    </w:p>
    <w:p>
      <w:pPr>
        <w:spacing w:line="560" w:lineRule="exact"/>
        <w:ind w:firstLine="640" w:firstLineChars="200"/>
        <w:rPr>
          <w:rFonts w:ascii="Times New Roman" w:hAnsi="Times New Roman" w:eastAsia="方正仿宋_GBK" w:cs="Times New Roman"/>
          <w:sz w:val="32"/>
          <w:szCs w:val="32"/>
          <w:lang w:val="zh-CN"/>
        </w:rPr>
      </w:pPr>
      <w:r>
        <w:rPr>
          <w:rFonts w:hint="eastAsia" w:ascii="Times New Roman" w:hAnsi="Times New Roman" w:eastAsia="方正仿宋_GBK" w:cs="Times New Roman"/>
          <w:sz w:val="32"/>
          <w:szCs w:val="32"/>
          <w:lang w:val="zh-CN"/>
        </w:rPr>
        <w:t>坚持以习近平新时代中国特色社会主义思想为指导，全面贯彻党的二十大</w:t>
      </w:r>
      <w:r>
        <w:rPr>
          <w:rFonts w:hint="eastAsia" w:ascii="Times New Roman" w:hAnsi="Times New Roman" w:eastAsia="方正仿宋_GBK" w:cs="Times New Roman"/>
          <w:sz w:val="32"/>
          <w:szCs w:val="32"/>
          <w:lang w:val="en-US" w:eastAsia="zh-CN"/>
        </w:rPr>
        <w:t>和二十届历次全会</w:t>
      </w:r>
      <w:r>
        <w:rPr>
          <w:rFonts w:hint="eastAsia" w:ascii="Times New Roman" w:hAnsi="Times New Roman" w:eastAsia="方正仿宋_GBK" w:cs="Times New Roman"/>
          <w:sz w:val="32"/>
          <w:szCs w:val="32"/>
          <w:lang w:val="zh-CN"/>
        </w:rPr>
        <w:t>精神，围绕市局党委现代警务战略部署，以效能提升为不懈追求，以改革创新为核心动力，以真抓实干为重要导向，以铁军建设为根本保障，坚定不移深化公安改革创新，努力建设更高质量更高水平的“平安鼓楼”，为护航中国式现代化鼓楼新实践作出公安贡献。</w:t>
      </w:r>
    </w:p>
    <w:p>
      <w:pPr>
        <w:widowControl/>
        <w:numPr>
          <w:ilvl w:val="0"/>
          <w:numId w:val="4"/>
        </w:numPr>
        <w:spacing w:line="560" w:lineRule="exact"/>
        <w:ind w:firstLine="640" w:firstLineChars="200"/>
        <w:rPr>
          <w:rFonts w:ascii="Times New Roman" w:hAnsi="Times New Roman" w:eastAsia="方正楷体_GBK" w:cs="Times New Roman"/>
          <w:kern w:val="0"/>
          <w:sz w:val="32"/>
          <w:szCs w:val="32"/>
        </w:rPr>
      </w:pPr>
      <w:r>
        <w:rPr>
          <w:rFonts w:ascii="Times New Roman" w:hAnsi="Times New Roman" w:eastAsia="方正楷体_GBK" w:cs="Times New Roman"/>
          <w:kern w:val="0"/>
          <w:sz w:val="32"/>
          <w:szCs w:val="32"/>
        </w:rPr>
        <w:t>年度目标</w:t>
      </w:r>
    </w:p>
    <w:p>
      <w:pPr>
        <w:spacing w:line="560" w:lineRule="exact"/>
        <w:ind w:firstLine="640" w:firstLineChars="200"/>
        <w:rPr>
          <w:rFonts w:ascii="Times New Roman" w:hAnsi="Times New Roman" w:eastAsia="方正仿宋_GBK" w:cs="Times New Roman"/>
          <w:sz w:val="32"/>
          <w:szCs w:val="32"/>
          <w:lang w:val="zh-CN"/>
        </w:rPr>
      </w:pPr>
      <w:r>
        <w:rPr>
          <w:rFonts w:hint="eastAsia" w:ascii="Times New Roman" w:hAnsi="Times New Roman" w:eastAsia="方正仿宋_GBK" w:cs="Times New Roman"/>
          <w:sz w:val="32"/>
          <w:szCs w:val="32"/>
          <w:lang w:val="zh-CN"/>
        </w:rPr>
        <w:t>鼓楼公安分局深入学习贯彻习近平总书记对公安工作、江苏工作的重要指示精神，在市局党委和区委、区政府坚强领导下，始终保持“领先、领跑、顶尖”的首善标准，主动识变、求变、应变，持续优化完善各项机制做法，奋力打造中心城区现代警务示范区。</w:t>
      </w:r>
    </w:p>
    <w:p>
      <w:pPr>
        <w:widowControl/>
        <w:numPr>
          <w:ilvl w:val="0"/>
          <w:numId w:val="5"/>
        </w:numPr>
        <w:spacing w:line="560" w:lineRule="exact"/>
        <w:ind w:firstLine="640" w:firstLineChars="200"/>
        <w:rPr>
          <w:rFonts w:ascii="Times New Roman" w:hAnsi="Times New Roman" w:eastAsia="方正黑体_GBK" w:cs="Times New Roman"/>
          <w:color w:val="000000"/>
          <w:kern w:val="0"/>
          <w:sz w:val="32"/>
          <w:szCs w:val="32"/>
        </w:rPr>
      </w:pPr>
      <w:r>
        <w:rPr>
          <w:rFonts w:ascii="Times New Roman" w:hAnsi="Times New Roman" w:eastAsia="方正黑体_GBK" w:cs="Times New Roman"/>
          <w:color w:val="000000"/>
          <w:kern w:val="0"/>
          <w:sz w:val="32"/>
          <w:szCs w:val="32"/>
        </w:rPr>
        <w:t>评价结论</w:t>
      </w:r>
    </w:p>
    <w:p>
      <w:pPr>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（一）评价对象</w:t>
      </w:r>
      <w:r>
        <w:rPr>
          <w:rFonts w:hint="eastAsia" w:ascii="Times New Roman" w:hAnsi="Times New Roman" w:eastAsia="方正仿宋_GBK" w:cs="Times New Roman"/>
          <w:b/>
          <w:bCs/>
          <w:sz w:val="32"/>
          <w:szCs w:val="32"/>
        </w:rPr>
        <w:t>与</w:t>
      </w:r>
      <w:r>
        <w:rPr>
          <w:rFonts w:ascii="Times New Roman" w:hAnsi="Times New Roman" w:eastAsia="方正仿宋_GBK" w:cs="Times New Roman"/>
          <w:b/>
          <w:bCs/>
          <w:sz w:val="32"/>
          <w:szCs w:val="32"/>
        </w:rPr>
        <w:t>范围</w:t>
      </w:r>
    </w:p>
    <w:p>
      <w:pPr>
        <w:spacing w:line="560" w:lineRule="exact"/>
        <w:ind w:firstLine="640" w:firstLineChars="200"/>
        <w:rPr>
          <w:rFonts w:ascii="Times New Roman" w:hAnsi="Times New Roman" w:eastAsia="方正仿宋_GBK" w:cs="Times New Roman"/>
          <w:sz w:val="32"/>
          <w:szCs w:val="32"/>
          <w:lang w:val="zh-CN"/>
        </w:rPr>
      </w:pPr>
      <w:r>
        <w:rPr>
          <w:rFonts w:ascii="Times New Roman" w:hAnsi="Times New Roman" w:eastAsia="方正仿宋_GBK" w:cs="Times New Roman"/>
          <w:sz w:val="32"/>
          <w:szCs w:val="32"/>
        </w:rPr>
        <w:t>本次评价对象为南京市公安局</w:t>
      </w:r>
      <w:r>
        <w:rPr>
          <w:rFonts w:hint="eastAsia" w:ascii="Times New Roman" w:hAnsi="Times New Roman" w:eastAsia="方正仿宋_GBK" w:cs="Times New Roman"/>
          <w:sz w:val="32"/>
          <w:szCs w:val="32"/>
        </w:rPr>
        <w:t>鼓楼</w:t>
      </w:r>
      <w:r>
        <w:rPr>
          <w:rFonts w:ascii="Times New Roman" w:hAnsi="Times New Roman" w:eastAsia="方正仿宋_GBK" w:cs="Times New Roman"/>
          <w:sz w:val="32"/>
          <w:szCs w:val="32"/>
        </w:rPr>
        <w:t>分局部门整体资金，2025年分局年初预算数为</w:t>
      </w:r>
      <w:r>
        <w:rPr>
          <w:rFonts w:hint="eastAsia" w:ascii="Times New Roman" w:hAnsi="Times New Roman" w:eastAsia="方正仿宋_GBK" w:cs="Times New Roman"/>
          <w:sz w:val="32"/>
          <w:szCs w:val="32"/>
        </w:rPr>
        <w:t>70697.46</w:t>
      </w:r>
      <w:r>
        <w:rPr>
          <w:rFonts w:ascii="Times New Roman" w:hAnsi="Times New Roman" w:eastAsia="方正仿宋_GBK" w:cs="Times New Roman"/>
          <w:sz w:val="32"/>
          <w:szCs w:val="32"/>
        </w:rPr>
        <w:t>万元、</w:t>
      </w:r>
      <w:r>
        <w:rPr>
          <w:rFonts w:ascii="Times New Roman" w:hAnsi="Times New Roman" w:eastAsia="方正仿宋_GBK" w:cs="Times New Roman"/>
          <w:color w:val="000000"/>
          <w:kern w:val="0"/>
          <w:sz w:val="32"/>
          <w:szCs w:val="32"/>
        </w:rPr>
        <w:t>调整后预算数</w:t>
      </w:r>
      <w:r>
        <w:rPr>
          <w:rFonts w:hint="eastAsia" w:ascii="Times New Roman" w:hAnsi="Times New Roman" w:eastAsia="方正仿宋_GBK" w:cs="Times New Roman"/>
          <w:color w:val="000000"/>
          <w:kern w:val="0"/>
          <w:sz w:val="32"/>
          <w:szCs w:val="32"/>
        </w:rPr>
        <w:t>81609.68</w:t>
      </w:r>
      <w:r>
        <w:rPr>
          <w:rFonts w:ascii="Times New Roman" w:hAnsi="Times New Roman" w:eastAsia="方正仿宋_GBK" w:cs="Times New Roman"/>
          <w:color w:val="000000"/>
          <w:kern w:val="0"/>
          <w:sz w:val="32"/>
          <w:szCs w:val="32"/>
        </w:rPr>
        <w:t>万元（包括基本支出</w:t>
      </w:r>
      <w:r>
        <w:rPr>
          <w:rFonts w:hint="eastAsia" w:ascii="Times New Roman" w:hAnsi="Times New Roman" w:eastAsia="方正仿宋_GBK" w:cs="Times New Roman"/>
          <w:color w:val="000000"/>
          <w:kern w:val="0"/>
          <w:sz w:val="32"/>
          <w:szCs w:val="32"/>
        </w:rPr>
        <w:t>79586.11</w:t>
      </w:r>
      <w:r>
        <w:rPr>
          <w:rFonts w:ascii="Times New Roman" w:hAnsi="Times New Roman" w:eastAsia="方正仿宋_GBK" w:cs="Times New Roman"/>
          <w:color w:val="000000"/>
          <w:kern w:val="0"/>
          <w:sz w:val="32"/>
          <w:szCs w:val="32"/>
        </w:rPr>
        <w:t>万元和项目支出</w:t>
      </w:r>
      <w:r>
        <w:rPr>
          <w:rFonts w:hint="eastAsia" w:ascii="Times New Roman" w:hAnsi="Times New Roman" w:eastAsia="方正仿宋_GBK" w:cs="Times New Roman"/>
          <w:color w:val="000000"/>
          <w:kern w:val="0"/>
          <w:sz w:val="32"/>
          <w:szCs w:val="32"/>
        </w:rPr>
        <w:t>2023.57</w:t>
      </w:r>
      <w:r>
        <w:rPr>
          <w:rFonts w:ascii="Times New Roman" w:hAnsi="Times New Roman" w:eastAsia="方正仿宋_GBK" w:cs="Times New Roman"/>
          <w:color w:val="000000"/>
          <w:kern w:val="0"/>
          <w:sz w:val="32"/>
          <w:szCs w:val="32"/>
        </w:rPr>
        <w:t>万元）， 无应重点关注的专项支出。评价时段为 2025 年 1 月 1 日至 12 月 31日。</w:t>
      </w:r>
    </w:p>
    <w:p>
      <w:pPr>
        <w:spacing w:line="560" w:lineRule="exact"/>
        <w:ind w:firstLine="640" w:firstLineChars="200"/>
        <w:rPr>
          <w:rFonts w:ascii="Times New Roman" w:hAnsi="Times New Roman" w:eastAsia="方正仿宋_GBK" w:cs="Times New Roman"/>
          <w:b/>
          <w:bCs/>
          <w:sz w:val="32"/>
          <w:szCs w:val="32"/>
        </w:rPr>
      </w:pPr>
      <w:r>
        <w:rPr>
          <w:rFonts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二</w:t>
      </w:r>
      <w:r>
        <w:rPr>
          <w:rFonts w:ascii="Times New Roman" w:hAnsi="Times New Roman" w:eastAsia="方正仿宋_GBK" w:cs="Times New Roman"/>
          <w:b/>
          <w:bCs/>
          <w:sz w:val="32"/>
          <w:szCs w:val="32"/>
        </w:rPr>
        <w:t>）</w:t>
      </w:r>
      <w:r>
        <w:rPr>
          <w:rFonts w:hint="eastAsia" w:ascii="Times New Roman" w:hAnsi="Times New Roman" w:eastAsia="方正仿宋_GBK" w:cs="Times New Roman"/>
          <w:b/>
          <w:bCs/>
          <w:sz w:val="32"/>
          <w:szCs w:val="32"/>
        </w:rPr>
        <w:t>绩效</w:t>
      </w:r>
      <w:r>
        <w:rPr>
          <w:rFonts w:ascii="Times New Roman" w:hAnsi="Times New Roman" w:eastAsia="方正仿宋_GBK" w:cs="Times New Roman"/>
          <w:b/>
          <w:bCs/>
          <w:sz w:val="32"/>
          <w:szCs w:val="32"/>
        </w:rPr>
        <w:t>评价结论</w:t>
      </w:r>
    </w:p>
    <w:p>
      <w:pPr>
        <w:spacing w:line="56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lang w:val="zh-CN"/>
        </w:rPr>
        <w:t>经综合评价，2025 年度南京市</w:t>
      </w:r>
      <w:r>
        <w:rPr>
          <w:rFonts w:hint="eastAsia" w:ascii="Times New Roman" w:hAnsi="Times New Roman" w:eastAsia="方正仿宋_GBK" w:cs="Times New Roman"/>
          <w:sz w:val="32"/>
          <w:szCs w:val="32"/>
        </w:rPr>
        <w:t>公安局鼓楼分</w:t>
      </w:r>
      <w:r>
        <w:rPr>
          <w:rFonts w:hint="eastAsia" w:ascii="Times New Roman" w:hAnsi="Times New Roman" w:eastAsia="方正仿宋_GBK" w:cs="Times New Roman"/>
          <w:sz w:val="32"/>
          <w:szCs w:val="32"/>
          <w:lang w:val="zh-CN"/>
        </w:rPr>
        <w:t>局整体绩效评价得分</w:t>
      </w:r>
      <w:r>
        <w:rPr>
          <w:rFonts w:hint="eastAsia" w:ascii="Times New Roman" w:hAnsi="Times New Roman" w:eastAsia="方正仿宋_GBK" w:cs="Times New Roman"/>
          <w:sz w:val="32"/>
          <w:szCs w:val="32"/>
        </w:rPr>
        <w:t>99</w:t>
      </w:r>
      <w:r>
        <w:rPr>
          <w:rFonts w:hint="eastAsia" w:ascii="Times New Roman" w:hAnsi="Times New Roman" w:eastAsia="方正仿宋_GBK" w:cs="Times New Roman"/>
          <w:sz w:val="32"/>
          <w:szCs w:val="32"/>
          <w:lang w:val="zh-CN"/>
        </w:rPr>
        <w:t>分，等级为</w:t>
      </w:r>
      <w:r>
        <w:rPr>
          <w:rFonts w:hint="eastAsia" w:ascii="Times New Roman" w:hAnsi="Times New Roman" w:eastAsia="方正仿宋_GBK" w:cs="Times New Roman"/>
          <w:sz w:val="32"/>
          <w:szCs w:val="32"/>
        </w:rPr>
        <w:t>优</w:t>
      </w:r>
      <w:r>
        <w:rPr>
          <w:rFonts w:hint="eastAsia" w:ascii="Times New Roman" w:hAnsi="Times New Roman" w:eastAsia="方正仿宋_GBK" w:cs="Times New Roman"/>
          <w:sz w:val="32"/>
          <w:szCs w:val="32"/>
          <w:lang w:val="zh-CN"/>
        </w:rPr>
        <w:t>。整体而言，202</w:t>
      </w:r>
      <w:r>
        <w:rPr>
          <w:rFonts w:hint="eastAsia" w:ascii="Times New Roman" w:hAnsi="Times New Roman" w:eastAsia="方正仿宋_GBK" w:cs="Times New Roman"/>
          <w:sz w:val="32"/>
          <w:szCs w:val="32"/>
        </w:rPr>
        <w:t>5</w:t>
      </w:r>
      <w:r>
        <w:rPr>
          <w:rFonts w:hint="eastAsia" w:ascii="Times New Roman" w:hAnsi="Times New Roman" w:eastAsia="方正仿宋_GBK" w:cs="Times New Roman"/>
          <w:sz w:val="32"/>
          <w:szCs w:val="32"/>
          <w:lang w:val="zh-CN"/>
        </w:rPr>
        <w:t>年度南京市</w:t>
      </w:r>
      <w:r>
        <w:rPr>
          <w:rFonts w:hint="eastAsia" w:ascii="Times New Roman" w:hAnsi="Times New Roman" w:eastAsia="方正仿宋_GBK" w:cs="Times New Roman"/>
          <w:sz w:val="32"/>
          <w:szCs w:val="32"/>
        </w:rPr>
        <w:t>公安局鼓楼分局</w:t>
      </w:r>
      <w:r>
        <w:rPr>
          <w:rFonts w:hint="eastAsia" w:ascii="Times New Roman" w:hAnsi="Times New Roman" w:eastAsia="方正仿宋_GBK" w:cs="Times New Roman"/>
          <w:sz w:val="32"/>
          <w:szCs w:val="32"/>
          <w:lang w:val="zh-CN"/>
        </w:rPr>
        <w:t>坚持以习近平新时代中国特色社会主义思想为指导，全面贯彻党的二十大和二十届</w:t>
      </w:r>
      <w:r>
        <w:rPr>
          <w:rFonts w:hint="eastAsia" w:ascii="Times New Roman" w:hAnsi="Times New Roman" w:eastAsia="方正仿宋_GBK" w:cs="Times New Roman"/>
          <w:sz w:val="32"/>
          <w:szCs w:val="32"/>
          <w:lang w:val="en-US" w:eastAsia="zh-CN"/>
        </w:rPr>
        <w:t>历次</w:t>
      </w:r>
      <w:bookmarkStart w:id="0" w:name="_GoBack"/>
      <w:bookmarkEnd w:id="0"/>
      <w:r>
        <w:rPr>
          <w:rFonts w:hint="eastAsia" w:ascii="Times New Roman" w:hAnsi="Times New Roman" w:eastAsia="方正仿宋_GBK" w:cs="Times New Roman"/>
          <w:sz w:val="32"/>
          <w:szCs w:val="32"/>
          <w:lang w:val="zh-CN"/>
        </w:rPr>
        <w:t>全会精神，认真落实全国、全省、全市公安工作会议精神，在市局党委和区委、区政府的坚强领导下，</w:t>
      </w:r>
      <w:r>
        <w:rPr>
          <w:rFonts w:hint="eastAsia" w:ascii="Times New Roman" w:hAnsi="Times New Roman" w:eastAsia="方正仿宋_GBK" w:cs="Times New Roman"/>
          <w:sz w:val="32"/>
          <w:szCs w:val="32"/>
        </w:rPr>
        <w:t>统筹做好防风险、保安全、护稳定、抓改革、促发展等重点任务，</w:t>
      </w:r>
      <w:r>
        <w:rPr>
          <w:rFonts w:hint="eastAsia" w:ascii="Times New Roman" w:hAnsi="Times New Roman" w:eastAsia="方正仿宋_GBK" w:cs="Times New Roman"/>
          <w:sz w:val="32"/>
          <w:szCs w:val="32"/>
          <w:lang w:val="zh-CN"/>
        </w:rPr>
        <w:t>有力确保全区社会大局持续平安稳定。</w:t>
      </w:r>
    </w:p>
    <w:p>
      <w:pPr>
        <w:pStyle w:val="4"/>
        <w:ind w:left="1260"/>
      </w:pPr>
    </w:p>
    <w:p>
      <w:pPr>
        <w:widowControl/>
        <w:spacing w:line="560" w:lineRule="exact"/>
        <w:ind w:firstLine="640" w:firstLineChars="200"/>
        <w:rPr>
          <w:rFonts w:ascii="Times New Roman" w:hAnsi="Times New Roman" w:eastAsia="方正黑体_GBK" w:cs="Times New Roman"/>
          <w:kern w:val="0"/>
          <w:sz w:val="32"/>
          <w:szCs w:val="32"/>
        </w:rPr>
      </w:pPr>
      <w:r>
        <w:rPr>
          <w:rFonts w:ascii="Times New Roman" w:hAnsi="Times New Roman" w:eastAsia="方正黑体_GBK" w:cs="Times New Roman"/>
          <w:color w:val="000000"/>
          <w:kern w:val="0"/>
          <w:sz w:val="32"/>
          <w:szCs w:val="32"/>
        </w:rPr>
        <w:t>三、部门履职成效</w:t>
      </w:r>
    </w:p>
    <w:p>
      <w:pPr>
        <w:widowControl/>
        <w:numPr>
          <w:ilvl w:val="0"/>
          <w:numId w:val="6"/>
        </w:numPr>
        <w:spacing w:line="560" w:lineRule="exact"/>
        <w:ind w:firstLine="640" w:firstLineChars="200"/>
        <w:rPr>
          <w:rFonts w:ascii="Times New Roman" w:hAnsi="Times New Roman" w:eastAsia="方正仿宋_GBK" w:cs="Times New Roman"/>
          <w:b/>
          <w:bCs/>
          <w:kern w:val="0"/>
          <w:sz w:val="32"/>
          <w:szCs w:val="32"/>
        </w:rPr>
      </w:pPr>
      <w:r>
        <w:rPr>
          <w:rFonts w:hint="eastAsia" w:ascii="Times New Roman" w:hAnsi="Times New Roman" w:eastAsia="方正仿宋_GBK" w:cs="Times New Roman"/>
          <w:b/>
          <w:bCs/>
          <w:kern w:val="0"/>
          <w:sz w:val="32"/>
          <w:szCs w:val="32"/>
        </w:rPr>
        <w:t>坚决做到政治建警，忠诚警魂进一步筑牢。</w:t>
      </w:r>
    </w:p>
    <w:p>
      <w:pPr>
        <w:widowControl/>
        <w:spacing w:line="56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分局始终把政治建设放在首位，教育引导全警坚定捍卫“两个确立”、坚决做到“两个维护”，永葆对党绝对忠诚的政治本色。</w:t>
      </w:r>
    </w:p>
    <w:p>
      <w:pPr>
        <w:widowControl/>
        <w:numPr>
          <w:ilvl w:val="0"/>
          <w:numId w:val="6"/>
        </w:numPr>
        <w:spacing w:line="560" w:lineRule="exact"/>
        <w:ind w:firstLine="640" w:firstLineChars="200"/>
        <w:rPr>
          <w:rFonts w:ascii="Times New Roman" w:hAnsi="Times New Roman" w:eastAsia="方正仿宋_GBK" w:cs="Times New Roman"/>
          <w:b/>
          <w:bCs/>
          <w:kern w:val="0"/>
          <w:sz w:val="32"/>
          <w:szCs w:val="32"/>
        </w:rPr>
      </w:pPr>
      <w:r>
        <w:rPr>
          <w:rFonts w:hint="eastAsia" w:ascii="Times New Roman" w:hAnsi="Times New Roman" w:eastAsia="方正仿宋_GBK" w:cs="Times New Roman"/>
          <w:b/>
          <w:bCs/>
          <w:kern w:val="0"/>
          <w:sz w:val="32"/>
          <w:szCs w:val="32"/>
        </w:rPr>
        <w:t>坚决扛起维稳主责，风险防范更加有力。</w:t>
      </w:r>
    </w:p>
    <w:p>
      <w:pPr>
        <w:widowControl/>
        <w:spacing w:line="560" w:lineRule="exact"/>
        <w:ind w:firstLine="640" w:firstLineChars="200"/>
        <w:rPr>
          <w:rFonts w:ascii="Times New Roman" w:hAnsi="Times New Roman" w:eastAsia="方正仿宋_GBK" w:cs="Times New Roman"/>
          <w:b/>
          <w:bCs/>
          <w:kern w:val="0"/>
          <w:sz w:val="32"/>
          <w:szCs w:val="32"/>
        </w:rPr>
      </w:pPr>
      <w:r>
        <w:rPr>
          <w:rFonts w:hint="eastAsia" w:ascii="Times New Roman" w:hAnsi="Times New Roman" w:eastAsia="方正仿宋_GBK" w:cs="Times New Roman"/>
          <w:kern w:val="0"/>
          <w:sz w:val="32"/>
          <w:szCs w:val="32"/>
        </w:rPr>
        <w:t>分局主动应对政治安全压力凸显、涉稳风险增多的突出形势，切实做到敏感敏锐、抓早抓小，管人控事、消除隐患。</w:t>
      </w:r>
    </w:p>
    <w:p>
      <w:pPr>
        <w:widowControl/>
        <w:numPr>
          <w:ilvl w:val="0"/>
          <w:numId w:val="6"/>
        </w:numPr>
        <w:spacing w:line="560" w:lineRule="exact"/>
        <w:ind w:firstLine="640" w:firstLineChars="200"/>
        <w:rPr>
          <w:rFonts w:ascii="Times New Roman" w:hAnsi="Times New Roman" w:eastAsia="方正仿宋_GBK" w:cs="Times New Roman"/>
          <w:b/>
          <w:bCs/>
          <w:kern w:val="0"/>
          <w:sz w:val="32"/>
          <w:szCs w:val="32"/>
        </w:rPr>
      </w:pPr>
      <w:r>
        <w:rPr>
          <w:rFonts w:hint="eastAsia" w:ascii="Times New Roman" w:hAnsi="Times New Roman" w:eastAsia="方正仿宋_GBK" w:cs="Times New Roman"/>
          <w:b/>
          <w:bCs/>
          <w:kern w:val="0"/>
          <w:sz w:val="32"/>
          <w:szCs w:val="32"/>
        </w:rPr>
        <w:t>整体防控形成示范样板，安全底板更加牢固。</w:t>
      </w:r>
    </w:p>
    <w:p>
      <w:pPr>
        <w:widowControl/>
        <w:spacing w:line="56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分局坚持系统观念、全周期理念，打防并举、综合施策维护辖区平安稳定。</w:t>
      </w:r>
    </w:p>
    <w:p>
      <w:pPr>
        <w:widowControl/>
        <w:numPr>
          <w:ilvl w:val="0"/>
          <w:numId w:val="6"/>
        </w:numPr>
        <w:spacing w:line="560" w:lineRule="exact"/>
        <w:ind w:firstLine="640" w:firstLineChars="200"/>
        <w:rPr>
          <w:rFonts w:ascii="Times New Roman" w:hAnsi="Times New Roman" w:eastAsia="方正仿宋_GBK" w:cs="Times New Roman"/>
          <w:b/>
          <w:bCs/>
          <w:kern w:val="0"/>
          <w:sz w:val="32"/>
          <w:szCs w:val="32"/>
        </w:rPr>
      </w:pPr>
      <w:r>
        <w:rPr>
          <w:rFonts w:hint="eastAsia" w:ascii="Times New Roman" w:hAnsi="Times New Roman" w:eastAsia="方正仿宋_GBK" w:cs="Times New Roman"/>
          <w:b/>
          <w:bCs/>
          <w:kern w:val="0"/>
          <w:sz w:val="32"/>
          <w:szCs w:val="32"/>
        </w:rPr>
        <w:t>全面深化公安改革，警务效能实现整体提升。</w:t>
      </w:r>
    </w:p>
    <w:p>
      <w:pPr>
        <w:widowControl/>
        <w:spacing w:line="560" w:lineRule="exact"/>
        <w:ind w:firstLine="640" w:firstLineChars="200"/>
        <w:rPr>
          <w:rFonts w:ascii="Times New Roman" w:hAnsi="Times New Roman" w:eastAsia="方正仿宋_GBK" w:cs="Times New Roman"/>
          <w:kern w:val="0"/>
          <w:sz w:val="32"/>
          <w:szCs w:val="32"/>
        </w:rPr>
      </w:pPr>
      <w:r>
        <w:rPr>
          <w:rFonts w:hint="eastAsia" w:ascii="Times New Roman" w:hAnsi="Times New Roman" w:eastAsia="方正仿宋_GBK" w:cs="Times New Roman"/>
          <w:kern w:val="0"/>
          <w:sz w:val="32"/>
          <w:szCs w:val="32"/>
        </w:rPr>
        <w:t>分局坚持情指行牵引抓总，固化运行机制；全链条快侦快破，发挥主战优势；“在社区”一盯到底，夯实主防基础；“小切口”整治执法问题，提升规范化水平。</w:t>
      </w:r>
    </w:p>
    <w:p>
      <w:pPr>
        <w:widowControl/>
        <w:numPr>
          <w:ilvl w:val="0"/>
          <w:numId w:val="6"/>
        </w:numPr>
        <w:spacing w:line="560" w:lineRule="exact"/>
        <w:ind w:firstLine="640" w:firstLineChars="200"/>
        <w:rPr>
          <w:rFonts w:ascii="Times New Roman" w:hAnsi="Times New Roman" w:eastAsia="方正仿宋_GBK" w:cs="Times New Roman"/>
          <w:b/>
          <w:bCs/>
          <w:kern w:val="0"/>
          <w:sz w:val="32"/>
          <w:szCs w:val="32"/>
        </w:rPr>
      </w:pPr>
      <w:r>
        <w:rPr>
          <w:rFonts w:hint="eastAsia" w:ascii="Times New Roman" w:hAnsi="Times New Roman" w:eastAsia="方正仿宋_GBK" w:cs="Times New Roman"/>
          <w:b/>
          <w:bCs/>
          <w:kern w:val="0"/>
          <w:sz w:val="32"/>
          <w:szCs w:val="32"/>
        </w:rPr>
        <w:t>始终坚持严管厚爱，队伍建设焕发崭新面貌。</w:t>
      </w:r>
    </w:p>
    <w:p>
      <w:pPr>
        <w:widowControl/>
        <w:spacing w:line="560" w:lineRule="exact"/>
        <w:ind w:firstLine="640" w:firstLineChars="200"/>
        <w:rPr>
          <w:rFonts w:eastAsia="方正仿宋_GBK"/>
          <w:color w:val="000000"/>
          <w:sz w:val="32"/>
          <w:szCs w:val="32"/>
        </w:rPr>
      </w:pPr>
      <w:r>
        <w:rPr>
          <w:rFonts w:hint="eastAsia" w:ascii="Times New Roman" w:hAnsi="Times New Roman" w:eastAsia="方正仿宋_GBK" w:cs="Times New Roman"/>
          <w:kern w:val="0"/>
          <w:sz w:val="32"/>
          <w:szCs w:val="32"/>
        </w:rPr>
        <w:t>分局着力锤炼能力之本，高质量发展基础更加牢固；着力聚合榜样之力，争先创优动能更加强劲；着力筑牢铁纪之盾，严管厚爱举措更加有力；着力做实爱警之策，警家文化氛围更加浓厚。</w:t>
      </w:r>
    </w:p>
    <w:p>
      <w:pPr>
        <w:widowControl/>
        <w:spacing w:line="560" w:lineRule="exact"/>
        <w:ind w:firstLine="640" w:firstLineChars="200"/>
        <w:rPr>
          <w:rFonts w:ascii="Times New Roman" w:hAnsi="Times New Roman" w:eastAsia="方正仿宋_GBK" w:cs="Times New Roman"/>
          <w:color w:val="000000"/>
          <w:kern w:val="0"/>
          <w:sz w:val="32"/>
          <w:szCs w:val="32"/>
        </w:rPr>
      </w:pPr>
      <w:r>
        <w:rPr>
          <w:rFonts w:ascii="Times New Roman" w:hAnsi="Times New Roman" w:eastAsia="方正黑体_GBK" w:cs="Times New Roman"/>
          <w:color w:val="000000"/>
          <w:kern w:val="0"/>
          <w:sz w:val="32"/>
          <w:szCs w:val="32"/>
        </w:rPr>
        <w:t>四、存在问题及原因分析</w:t>
      </w:r>
    </w:p>
    <w:p>
      <w:pPr>
        <w:spacing w:line="560" w:lineRule="exact"/>
        <w:ind w:firstLine="640" w:firstLineChars="200"/>
        <w:rPr>
          <w:rFonts w:ascii="Times New Roman" w:hAnsi="Times New Roman" w:eastAsia="方正黑体_GBK" w:cs="Times New Roman"/>
          <w:b/>
          <w:bCs/>
          <w:color w:val="000000"/>
          <w:kern w:val="0"/>
          <w:sz w:val="32"/>
          <w:szCs w:val="32"/>
        </w:rPr>
      </w:pPr>
      <w:r>
        <w:rPr>
          <w:rFonts w:ascii="Times New Roman" w:hAnsi="Times New Roman" w:eastAsia="方正仿宋_GBK" w:cs="Times New Roman"/>
          <w:kern w:val="0"/>
          <w:sz w:val="32"/>
          <w:szCs w:val="32"/>
        </w:rPr>
        <w:t>绩效管理工作基础薄弱、管理机制不够完善。一是绩效目标管理有待加强，根据公安部门职能及项目特点的指标体系尚未完善，项目单位申报的目标与预算匹配性较低；二是存在部分绩效评价难以量化，评价专业性不足，绩效责任难以落实。</w:t>
      </w:r>
    </w:p>
    <w:p>
      <w:pPr>
        <w:spacing w:line="560" w:lineRule="exact"/>
        <w:ind w:firstLine="640" w:firstLineChars="200"/>
        <w:rPr>
          <w:rFonts w:ascii="Times New Roman" w:hAnsi="Times New Roman" w:eastAsia="方正黑体_GBK" w:cs="Times New Roman"/>
          <w:color w:val="000000"/>
          <w:kern w:val="0"/>
          <w:sz w:val="32"/>
          <w:szCs w:val="32"/>
        </w:rPr>
      </w:pPr>
      <w:r>
        <w:rPr>
          <w:rFonts w:ascii="Times New Roman" w:hAnsi="Times New Roman" w:eastAsia="方正黑体_GBK" w:cs="Times New Roman"/>
          <w:color w:val="000000"/>
          <w:kern w:val="0"/>
          <w:sz w:val="32"/>
          <w:szCs w:val="32"/>
        </w:rPr>
        <w:t>五、有关建议</w:t>
      </w:r>
    </w:p>
    <w:p>
      <w:pPr>
        <w:spacing w:line="560" w:lineRule="exact"/>
        <w:ind w:firstLine="640" w:firstLineChars="200"/>
        <w:rPr>
          <w:rFonts w:ascii="Times New Roman" w:hAnsi="Times New Roman" w:eastAsia="方正仿宋_GBK" w:cs="Times New Roman"/>
          <w:kern w:val="0"/>
          <w:sz w:val="32"/>
          <w:szCs w:val="32"/>
        </w:rPr>
      </w:pPr>
      <w:r>
        <w:rPr>
          <w:rFonts w:ascii="Times New Roman" w:hAnsi="Times New Roman" w:eastAsia="方正仿宋_GBK" w:cs="Times New Roman"/>
          <w:sz w:val="32"/>
          <w:szCs w:val="32"/>
          <w:shd w:val="clear" w:color="auto" w:fill="FFFFFF"/>
        </w:rPr>
        <w:t>建议市财政局组织全面深入的绩效管理培训，提高部门对绩效管理政策的掌握程度，制定出更加明确具体的</w:t>
      </w:r>
      <w:r>
        <w:rPr>
          <w:rFonts w:hint="eastAsia" w:ascii="Times New Roman" w:hAnsi="Times New Roman" w:eastAsia="方正仿宋_GBK" w:cs="Times New Roman"/>
          <w:sz w:val="32"/>
          <w:szCs w:val="32"/>
          <w:shd w:val="clear" w:color="auto" w:fill="FFFFFF"/>
        </w:rPr>
        <w:t>、</w:t>
      </w:r>
      <w:r>
        <w:rPr>
          <w:rFonts w:ascii="Times New Roman" w:hAnsi="Times New Roman" w:eastAsia="方正仿宋_GBK" w:cs="Times New Roman"/>
          <w:sz w:val="32"/>
          <w:szCs w:val="32"/>
          <w:shd w:val="clear" w:color="auto" w:fill="FFFFFF"/>
        </w:rPr>
        <w:t>定性和定量相结合的、可衡量考核的年度绩效目标，提高绩效管理的有效性。</w:t>
      </w:r>
    </w:p>
    <w:p>
      <w:pPr>
        <w:spacing w:line="560" w:lineRule="exact"/>
        <w:ind w:firstLine="640" w:firstLineChars="200"/>
        <w:rPr>
          <w:rFonts w:ascii="Times New Roman" w:hAnsi="Times New Roman" w:eastAsia="方正黑体_GBK" w:cs="Times New Roman"/>
          <w:color w:val="000000"/>
          <w:kern w:val="0"/>
          <w:sz w:val="32"/>
          <w:szCs w:val="32"/>
        </w:rPr>
      </w:pPr>
      <w:r>
        <w:rPr>
          <w:rFonts w:hint="eastAsia" w:ascii="Times New Roman" w:hAnsi="Times New Roman" w:eastAsia="方正黑体_GBK" w:cs="Times New Roman"/>
          <w:color w:val="000000"/>
          <w:kern w:val="0"/>
          <w:sz w:val="32"/>
          <w:szCs w:val="32"/>
        </w:rPr>
        <w:t>六、</w:t>
      </w:r>
      <w:r>
        <w:rPr>
          <w:rFonts w:ascii="Times New Roman" w:hAnsi="Times New Roman" w:eastAsia="方正黑体_GBK" w:cs="Times New Roman"/>
          <w:color w:val="000000"/>
          <w:kern w:val="0"/>
          <w:sz w:val="32"/>
          <w:szCs w:val="32"/>
        </w:rPr>
        <w:t>评价工作开展情况及其他需说明的情况</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（一）绩效评价工作情况</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1.评价思路及方法</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本着客观公正、实事求是的原则，对照全年绩效目标，采用因素分析法、投入产出效益分析法、比较法等方法，围绕预算资金管理、职责履行、履职效益等内容进行全面、客观、公正的绩效考评。</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2.评价组织及分工</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我单位建立了以</w:t>
      </w:r>
      <w:r>
        <w:rPr>
          <w:rFonts w:hint="eastAsia" w:ascii="Times New Roman" w:hAnsi="Times New Roman" w:eastAsia="方正仿宋_GBK" w:cs="Times New Roman"/>
          <w:sz w:val="32"/>
          <w:szCs w:val="32"/>
        </w:rPr>
        <w:t>分局局长</w:t>
      </w:r>
      <w:r>
        <w:rPr>
          <w:rFonts w:ascii="Times New Roman" w:hAnsi="Times New Roman" w:eastAsia="方正仿宋_GBK" w:cs="Times New Roman"/>
          <w:sz w:val="32"/>
          <w:szCs w:val="32"/>
        </w:rPr>
        <w:t>为</w:t>
      </w:r>
      <w:r>
        <w:rPr>
          <w:rFonts w:hint="eastAsia" w:ascii="Times New Roman" w:hAnsi="Times New Roman" w:eastAsia="方正仿宋_GBK" w:cs="Times New Roman"/>
          <w:sz w:val="32"/>
          <w:szCs w:val="32"/>
        </w:rPr>
        <w:t>评价组长</w:t>
      </w:r>
      <w:r>
        <w:rPr>
          <w:rFonts w:ascii="Times New Roman" w:hAnsi="Times New Roman" w:eastAsia="方正仿宋_GBK" w:cs="Times New Roman"/>
          <w:sz w:val="32"/>
          <w:szCs w:val="32"/>
        </w:rPr>
        <w:t>，分管领导为事项主评人，</w:t>
      </w:r>
      <w:r>
        <w:rPr>
          <w:rFonts w:hint="eastAsia" w:ascii="方正仿宋_GBK" w:hAnsi="方正仿宋_GBK" w:eastAsia="方正仿宋_GBK" w:cs="方正仿宋_GBK"/>
          <w:sz w:val="32"/>
          <w:szCs w:val="32"/>
        </w:rPr>
        <w:t>警务保障室、政工室、情报指挥中心和法制大队</w:t>
      </w:r>
      <w:r>
        <w:rPr>
          <w:rFonts w:ascii="Times New Roman" w:hAnsi="Times New Roman" w:eastAsia="方正仿宋_GBK" w:cs="Times New Roman"/>
          <w:sz w:val="32"/>
          <w:szCs w:val="32"/>
        </w:rPr>
        <w:t>主要负责人为组员的评价小组，并明确组长和组员的工作职责。</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3.评价过程</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采用自下而上的评价过程。各内设机构先组织开展自评，将自评结果上报分局评价小组。评价小组结合自评结果开展综合评价并形成评价报告。</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4.评价指标体系</w:t>
      </w:r>
    </w:p>
    <w:p>
      <w:pPr>
        <w:widowControl/>
        <w:ind w:firstLine="640" w:firstLineChars="200"/>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2025年</w:t>
      </w:r>
      <w:r>
        <w:rPr>
          <w:rFonts w:ascii="Times New Roman" w:hAnsi="Times New Roman" w:eastAsia="方正仿宋_GBK" w:cs="Times New Roman"/>
          <w:color w:val="000000"/>
          <w:sz w:val="32"/>
          <w:szCs w:val="32"/>
          <w:shd w:val="clear" w:color="auto" w:fill="FFFFFF"/>
        </w:rPr>
        <w:t>南京市公安局</w:t>
      </w:r>
      <w:r>
        <w:rPr>
          <w:rFonts w:hint="eastAsia" w:ascii="Times New Roman" w:hAnsi="Times New Roman" w:eastAsia="方正仿宋_GBK" w:cs="Times New Roman"/>
          <w:color w:val="000000"/>
          <w:sz w:val="32"/>
          <w:szCs w:val="32"/>
          <w:shd w:val="clear" w:color="auto" w:fill="FFFFFF"/>
        </w:rPr>
        <w:t>鼓楼</w:t>
      </w:r>
      <w:r>
        <w:rPr>
          <w:rFonts w:ascii="Times New Roman" w:hAnsi="Times New Roman" w:eastAsia="方正仿宋_GBK" w:cs="Times New Roman"/>
          <w:color w:val="000000"/>
          <w:sz w:val="32"/>
          <w:szCs w:val="32"/>
          <w:shd w:val="clear" w:color="auto" w:fill="FFFFFF"/>
        </w:rPr>
        <w:t>分局</w:t>
      </w:r>
      <w:r>
        <w:rPr>
          <w:rFonts w:ascii="Times New Roman" w:hAnsi="Times New Roman" w:eastAsia="方正仿宋_GBK" w:cs="Times New Roman"/>
          <w:sz w:val="32"/>
          <w:szCs w:val="32"/>
        </w:rPr>
        <w:t>部门整体绩效评价指标体系共设计5个一级指标，1</w:t>
      </w: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个二级指标，3</w:t>
      </w:r>
      <w:r>
        <w:rPr>
          <w:rFonts w:hint="eastAsia" w:ascii="Times New Roman" w:hAnsi="Times New Roman" w:eastAsia="方正仿宋_GBK" w:cs="Times New Roman"/>
          <w:sz w:val="32"/>
          <w:szCs w:val="32"/>
        </w:rPr>
        <w:t>5</w:t>
      </w:r>
      <w:r>
        <w:rPr>
          <w:rFonts w:ascii="Times New Roman" w:hAnsi="Times New Roman" w:eastAsia="方正仿宋_GBK" w:cs="Times New Roman"/>
          <w:sz w:val="32"/>
          <w:szCs w:val="32"/>
        </w:rPr>
        <w:t>个三级指标。详见附件1。</w:t>
      </w:r>
    </w:p>
    <w:p>
      <w:pPr>
        <w:widowControl/>
        <w:ind w:firstLine="579" w:firstLineChars="181"/>
        <w:jc w:val="left"/>
        <w:rPr>
          <w:rFonts w:ascii="Times New Roman" w:hAnsi="Times New Roman" w:eastAsia="方正仿宋_GBK" w:cs="Times New Roman"/>
          <w:sz w:val="32"/>
          <w:szCs w:val="32"/>
        </w:rPr>
      </w:pPr>
      <w:r>
        <w:rPr>
          <w:rFonts w:ascii="Times New Roman" w:hAnsi="Times New Roman" w:eastAsia="方正仿宋_GBK" w:cs="Times New Roman"/>
          <w:sz w:val="32"/>
          <w:szCs w:val="32"/>
        </w:rPr>
        <w:t>（二）其他需要说明的情况</w:t>
      </w:r>
    </w:p>
    <w:p>
      <w:pPr>
        <w:widowControl/>
        <w:ind w:firstLine="579" w:firstLineChars="181"/>
        <w:jc w:val="left"/>
        <w:rPr>
          <w:rFonts w:ascii="Times New Roman" w:hAnsi="Times New Roman" w:eastAsia="方正仿宋_GBK" w:cs="Times New Roman"/>
          <w:kern w:val="0"/>
          <w:sz w:val="32"/>
          <w:szCs w:val="32"/>
        </w:rPr>
      </w:pPr>
      <w:r>
        <w:rPr>
          <w:rFonts w:ascii="Times New Roman" w:hAnsi="Times New Roman" w:eastAsia="方正仿宋_GBK" w:cs="Times New Roman"/>
          <w:sz w:val="32"/>
          <w:szCs w:val="32"/>
        </w:rPr>
        <w:t>无。</w:t>
      </w:r>
    </w:p>
    <w:p>
      <w:pPr>
        <w:spacing w:line="560" w:lineRule="exact"/>
        <w:rPr>
          <w:rFonts w:ascii="Times New Roman" w:hAnsi="Times New Roman" w:eastAsia="方正仿宋_GBK" w:cs="Times New Roman"/>
          <w:kern w:val="0"/>
          <w:sz w:val="32"/>
          <w:szCs w:val="32"/>
        </w:rPr>
      </w:pPr>
    </w:p>
    <w:p>
      <w:pPr>
        <w:spacing w:line="560" w:lineRule="exact"/>
        <w:rPr>
          <w:rFonts w:ascii="Times New Roman" w:hAnsi="Times New Roman" w:eastAsia="方正仿宋_GBK" w:cs="Times New Roman"/>
          <w:kern w:val="0"/>
          <w:sz w:val="32"/>
          <w:szCs w:val="32"/>
        </w:rPr>
        <w:sectPr>
          <w:footerReference r:id="rId3" w:type="default"/>
          <w:pgSz w:w="11906" w:h="16838"/>
          <w:pgMar w:top="1440" w:right="1800" w:bottom="1440" w:left="1800" w:header="851" w:footer="567" w:gutter="0"/>
          <w:cols w:space="720" w:num="1"/>
          <w:docGrid w:type="linesAndChars" w:linePitch="312" w:charSpace="0"/>
        </w:sectPr>
      </w:pPr>
      <w:r>
        <w:rPr>
          <w:rFonts w:ascii="Times New Roman" w:hAnsi="Times New Roman" w:eastAsia="方正仿宋_GBK" w:cs="Times New Roman"/>
          <w:kern w:val="0"/>
          <w:sz w:val="32"/>
          <w:szCs w:val="32"/>
        </w:rPr>
        <w:t>附件：南京市公安局鼓楼分局部门整体绩效评价指标体系</w:t>
      </w:r>
    </w:p>
    <w:p>
      <w:pPr>
        <w:jc w:val="center"/>
        <w:rPr>
          <w:rFonts w:ascii="Times New Roman" w:hAnsi="Times New Roman" w:eastAsia="方正小标宋简体" w:cs="Times New Roman"/>
          <w:sz w:val="36"/>
          <w:szCs w:val="36"/>
        </w:rPr>
      </w:pPr>
    </w:p>
    <w:p>
      <w:pPr>
        <w:jc w:val="center"/>
        <w:rPr>
          <w:rFonts w:ascii="Times New Roman" w:hAnsi="Times New Roman" w:eastAsia="方正小标宋简体" w:cs="Times New Roman"/>
          <w:sz w:val="36"/>
          <w:szCs w:val="36"/>
        </w:rPr>
      </w:pPr>
      <w:r>
        <w:rPr>
          <w:rFonts w:ascii="Times New Roman" w:hAnsi="Times New Roman" w:eastAsia="方正小标宋简体" w:cs="Times New Roman"/>
          <w:sz w:val="36"/>
          <w:szCs w:val="36"/>
        </w:rPr>
        <w:t>南京市公安局鼓楼分局部门整体绩效评价指标体系</w:t>
      </w:r>
    </w:p>
    <w:tbl>
      <w:tblPr>
        <w:tblStyle w:val="9"/>
        <w:tblpPr w:leftFromText="180" w:rightFromText="180" w:vertAnchor="text" w:horzAnchor="page" w:tblpX="1177" w:tblpY="143"/>
        <w:tblOverlap w:val="never"/>
        <w:tblW w:w="14655" w:type="dxa"/>
        <w:tblInd w:w="0" w:type="dxa"/>
        <w:tblLayout w:type="fixed"/>
        <w:tblCellMar>
          <w:top w:w="0" w:type="dxa"/>
          <w:left w:w="108" w:type="dxa"/>
          <w:bottom w:w="0" w:type="dxa"/>
          <w:right w:w="108" w:type="dxa"/>
        </w:tblCellMar>
      </w:tblPr>
      <w:tblGrid>
        <w:gridCol w:w="720"/>
        <w:gridCol w:w="3105"/>
        <w:gridCol w:w="1935"/>
        <w:gridCol w:w="990"/>
        <w:gridCol w:w="3520"/>
        <w:gridCol w:w="3185"/>
        <w:gridCol w:w="586"/>
        <w:gridCol w:w="614"/>
      </w:tblGrid>
      <w:tr>
        <w:tblPrEx>
          <w:tblCellMar>
            <w:top w:w="0" w:type="dxa"/>
            <w:left w:w="108" w:type="dxa"/>
            <w:bottom w:w="0" w:type="dxa"/>
            <w:right w:w="108" w:type="dxa"/>
          </w:tblCellMar>
        </w:tblPrEx>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一级指标</w:t>
            </w:r>
          </w:p>
        </w:tc>
        <w:tc>
          <w:tcPr>
            <w:tcW w:w="310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二级指标</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三级指标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标准值</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评分标准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评分过程</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权重</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b/>
                <w:bCs/>
                <w:color w:val="000000"/>
                <w:sz w:val="24"/>
                <w:szCs w:val="24"/>
              </w:rPr>
            </w:pPr>
            <w:r>
              <w:rPr>
                <w:rFonts w:hint="eastAsia" w:ascii="方正仿宋_GBK" w:hAnsi="方正仿宋_GBK" w:eastAsia="方正仿宋_GBK" w:cs="方正仿宋_GBK"/>
                <w:b/>
                <w:bCs/>
                <w:color w:val="000000"/>
                <w:kern w:val="0"/>
                <w:sz w:val="24"/>
                <w:szCs w:val="24"/>
              </w:rPr>
              <w:t>得分</w:t>
            </w:r>
          </w:p>
        </w:tc>
      </w:tr>
      <w:tr>
        <w:tblPrEx>
          <w:tblCellMar>
            <w:top w:w="0" w:type="dxa"/>
            <w:left w:w="108" w:type="dxa"/>
            <w:bottom w:w="0" w:type="dxa"/>
            <w:right w:w="108" w:type="dxa"/>
          </w:tblCellMar>
        </w:tblPrEx>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决策</w:t>
            </w: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计划制定</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中长期规划制定健全性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健全</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单位中长期规划是否明确（1分），科学（1分）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单位中长期规划明确、科学，得2分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工作计划制定健全性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健全</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单位年度工作计划的制定是否明确（1分），科学（1分）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已制定科学明确的年度工作计划，有年度工作要点，得2分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目标设定</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绩效目标合理性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合理</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绩效目标与实际工作内容是否具有相关性（1分），绩效目标是否合理。（1分）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绩效目标与实际工作内容相关，设置合理，得2分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绩效指标明确性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明确</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是否细化分解为具体明确的（1分），指标值是否清晰、可衡量（1分）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绩效指标明确，部分指标不够清晰，扣1分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预算编制</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预算编制科学性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科学</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预算编制是否经过科学论证（1分），预算额度测算依据是否充分，是否按照标准编制（1分）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预算编制,经过科学论证，预算额度测算依据充分，按照标准编制，得2分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预算编制规范性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规范</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项目是否按照程序规范申请设立（1分），事前是否已经过必要的可行性研究、评估（1分）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项目按照程序规范设立，事前已经过必要的可行性研究、评估，得2分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过程</w:t>
            </w: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预算执行</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预算调整率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预算过程中是否中途变更调整，调整手续是否完备合规（2分）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预算过程中未申请变更调整，得2分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支付进度符合率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是否符合预算批复或合同规定的用途（2分）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支付中不存在截留、挤占、挪用等情况，得2分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rPr>
          <w:trHeight w:val="406"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预算执行率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单位预算支出的预算执行情况（3分）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按单位预算实际执行率计算，得3分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3</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结转结余率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未执行完毕的财政拨款是否结转下年（2分）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未执行完毕的财政拨款均由财政收回，得2分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公用经费控制率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单位对公用经费的控制程度（预、决算比率≦100%，2分）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公用经费，控制在标准范围内，得2分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“三公经费”变动率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单位“三公经费”变动情况，若不变动则不扣分（2分）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“三公经费”未变动，得2分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2</w:t>
            </w:r>
          </w:p>
        </w:tc>
      </w:tr>
      <w:tr>
        <w:tblPrEx>
          <w:tblCellMar>
            <w:top w:w="0" w:type="dxa"/>
            <w:left w:w="108" w:type="dxa"/>
            <w:bottom w:w="0" w:type="dxa"/>
            <w:right w:w="108" w:type="dxa"/>
          </w:tblCellMar>
        </w:tblPrEx>
        <w:trPr>
          <w:trHeight w:val="667"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政府采购执行率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纳入政府采购的资金能否按时执行（2分）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政府采购资金按时执行完毕，得2分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非税收入预算完成率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非税收入能否完成预算目标（2分）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非税收入完成预算目标，得2分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rPr>
          <w:trHeight w:val="77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预算管理</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预算管理制度健全性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健全</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单位是否建立有健全完备的预算管理制度（3分）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建立完善健全的预算管理制度，得3分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r>
      <w:tr>
        <w:tblPrEx>
          <w:tblCellMar>
            <w:top w:w="0" w:type="dxa"/>
            <w:left w:w="108" w:type="dxa"/>
            <w:bottom w:w="0" w:type="dxa"/>
            <w:right w:w="108" w:type="dxa"/>
          </w:tblCellMar>
        </w:tblPrEx>
        <w:trPr>
          <w:trHeight w:val="571"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资金使用合规性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合规</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是否严格按照制度执行资金管理各项工作。（3分）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严格按照制度执行资金管理，资金使用合规，得3分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r>
      <w:tr>
        <w:tblPrEx>
          <w:tblCellMar>
            <w:top w:w="0" w:type="dxa"/>
            <w:left w:w="108" w:type="dxa"/>
            <w:bottom w:w="0" w:type="dxa"/>
            <w:right w:w="108" w:type="dxa"/>
          </w:tblCellMar>
        </w:tblPrEx>
        <w:trPr>
          <w:trHeight w:val="700"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绩效管理覆盖率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单位预算绩效管理是否全覆盖（2分）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本单位预算绩效管理已全覆盖，得2分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rPr>
          <w:trHeight w:val="711"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基础信息完善性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完善</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预算管理基础信息是否完善（2分）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本单位预算管理基础信息完善，得2分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rPr>
          <w:trHeight w:val="754"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预决算信息公开度</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公开</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预决算是否在“双平台”进行公开（1分），内容和时限是否符合要求（2分）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预决算工作已按规定及时进行公开，得3分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r>
      <w:tr>
        <w:tblPrEx>
          <w:tblCellMar>
            <w:top w:w="0" w:type="dxa"/>
            <w:left w:w="108" w:type="dxa"/>
            <w:bottom w:w="0" w:type="dxa"/>
            <w:right w:w="108" w:type="dxa"/>
          </w:tblCellMar>
        </w:tblPrEx>
        <w:trPr>
          <w:trHeight w:val="83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非税收入管理合规性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合规</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本单位非税收入管理是否合规（2分）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本单位非税收入管理合规，得2分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资产管理</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资产管理制度健全性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健全</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单位是否建立有健全完备的资产管理制度（3分）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建立完善健全的资产管理制度，得3分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r>
      <w:tr>
        <w:tblPrEx>
          <w:tblCellMar>
            <w:top w:w="0" w:type="dxa"/>
            <w:left w:w="108" w:type="dxa"/>
            <w:bottom w:w="0" w:type="dxa"/>
            <w:right w:w="108" w:type="dxa"/>
          </w:tblCellMar>
        </w:tblPrEx>
        <w:trPr>
          <w:trHeight w:val="695"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资产管理规范性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规范</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单位资产管理制度执行是否规范、有效（3分）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单位资产管理制度执行规范、有效，得3分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r>
      <w:tr>
        <w:tblPrEx>
          <w:tblCellMar>
            <w:top w:w="0" w:type="dxa"/>
            <w:left w:w="108" w:type="dxa"/>
            <w:bottom w:w="0" w:type="dxa"/>
            <w:right w:w="108" w:type="dxa"/>
          </w:tblCellMar>
        </w:tblPrEx>
        <w:trPr>
          <w:trHeight w:val="707"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固定资产利用率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固定资产是否完全利用，未闲置（2分）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本单位固定资产定期盘点，充分利用，无闲置资产，得2分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rPr>
          <w:trHeight w:val="847"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项目管理</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项目管理制度健全性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健全</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单位是否建立有健全完备的项目管理制度（3分）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建立完善健全的项目管理制度，得3分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r>
      <w:tr>
        <w:tblPrEx>
          <w:tblCellMar>
            <w:top w:w="0" w:type="dxa"/>
            <w:left w:w="108" w:type="dxa"/>
            <w:bottom w:w="0" w:type="dxa"/>
            <w:right w:w="108" w:type="dxa"/>
          </w:tblCellMar>
        </w:tblPrEx>
        <w:trPr>
          <w:trHeight w:val="868"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项目管理制度执行规范性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规范</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单位项目管理制度执行是否规范、有效（3分）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单位项目管理制度执行规范、有效，得3分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3</w:t>
            </w:r>
          </w:p>
        </w:tc>
      </w:tr>
      <w:tr>
        <w:tblPrEx>
          <w:tblCellMar>
            <w:top w:w="0" w:type="dxa"/>
            <w:left w:w="108" w:type="dxa"/>
            <w:bottom w:w="0" w:type="dxa"/>
            <w:right w:w="108" w:type="dxa"/>
          </w:tblCellMar>
        </w:tblPrEx>
        <w:trPr>
          <w:trHeight w:val="772"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人员管理</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人员管理制度健全性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健全</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单位是否建立有健全完备的人事管理制度（2分）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建立完善健全的人事管理制度，得2分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人员管理制度执行有效性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有效</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单位人员管理制度执行是否规范、有效（2分）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单位人员管理制度执行规范、有效，得2分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rPr>
          <w:trHeight w:val="426" w:hRule="atLeast"/>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在职人员控制率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单位在职人数与核编人数是否匹配（2分）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单位在职人数与核编人数匹配，得2分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机构建设</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组织建设工作及时完成率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组织建设工作是否及时完成（2分）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组织建设工作能够及时完成，得2分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业务学习与培训及时完成率</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业务学习与培训是否及时完成（2分）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业务学习与培训及时完成率，得2分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3105" w:type="dxa"/>
            <w:vMerge w:val="continue"/>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纪检监察工作有效性</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有效</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本单位纪检监察工作是否有效（2分）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kern w:val="0"/>
                <w:sz w:val="18"/>
                <w:szCs w:val="18"/>
              </w:rPr>
              <w:t>本单位纪检监察工作高效有序进行，得2分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2</w:t>
            </w:r>
          </w:p>
        </w:tc>
      </w:tr>
      <w:tr>
        <w:tblPrEx>
          <w:tblCellMar>
            <w:top w:w="0" w:type="dxa"/>
            <w:left w:w="108" w:type="dxa"/>
            <w:bottom w:w="0" w:type="dxa"/>
            <w:right w:w="108" w:type="dxa"/>
          </w:tblCellMar>
        </w:tblPrEx>
        <w:trPr>
          <w:trHeight w:val="90" w:hRule="atLeast"/>
        </w:trPr>
        <w:tc>
          <w:tcPr>
            <w:tcW w:w="720" w:type="dxa"/>
            <w:tcBorders>
              <w:top w:val="single" w:color="000000" w:sz="4" w:space="0"/>
              <w:left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履职</w:t>
            </w:r>
          </w:p>
        </w:tc>
        <w:tc>
          <w:tcPr>
            <w:tcW w:w="3105"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维护社会治安</w:t>
            </w:r>
          </w:p>
        </w:tc>
        <w:tc>
          <w:tcPr>
            <w:tcW w:w="1935"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社会稳定性</w:t>
            </w:r>
          </w:p>
        </w:tc>
        <w:tc>
          <w:tcPr>
            <w:tcW w:w="990"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稳定</w:t>
            </w:r>
          </w:p>
        </w:tc>
        <w:tc>
          <w:tcPr>
            <w:tcW w:w="3520"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社会治安稳定性是否达到预期标准</w:t>
            </w:r>
            <w:r>
              <w:rPr>
                <w:rFonts w:hint="eastAsia" w:ascii="方正仿宋_GBK" w:hAnsi="方正仿宋_GBK" w:eastAsia="方正仿宋_GBK" w:cs="方正仿宋_GBK"/>
                <w:color w:val="000000"/>
                <w:kern w:val="0"/>
                <w:sz w:val="18"/>
                <w:szCs w:val="18"/>
              </w:rPr>
              <w:t>（10分）</w:t>
            </w:r>
          </w:p>
        </w:tc>
        <w:tc>
          <w:tcPr>
            <w:tcW w:w="3185"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社会治安满意度达到预期标准，得10分</w:t>
            </w:r>
          </w:p>
        </w:tc>
        <w:tc>
          <w:tcPr>
            <w:tcW w:w="586" w:type="dxa"/>
            <w:tcBorders>
              <w:top w:val="single" w:color="000000" w:sz="4" w:space="0"/>
              <w:left w:val="single" w:color="000000" w:sz="4" w:space="0"/>
              <w:bottom w:val="single" w:color="auto" w:sz="4" w:space="0"/>
              <w:right w:val="single" w:color="000000" w:sz="4" w:space="0"/>
            </w:tcBorders>
            <w:noWrap/>
            <w:vAlign w:val="center"/>
          </w:tcPr>
          <w:p>
            <w:pPr>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10</w:t>
            </w:r>
          </w:p>
        </w:tc>
        <w:tc>
          <w:tcPr>
            <w:tcW w:w="614" w:type="dxa"/>
            <w:tcBorders>
              <w:top w:val="single" w:color="000000" w:sz="4" w:space="0"/>
              <w:left w:val="single" w:color="000000" w:sz="4" w:space="0"/>
              <w:bottom w:val="single" w:color="auto" w:sz="4" w:space="0"/>
              <w:right w:val="single" w:color="000000" w:sz="4" w:space="0"/>
            </w:tcBorders>
            <w:noWrap/>
            <w:vAlign w:val="center"/>
          </w:tcPr>
          <w:p>
            <w:pPr>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10</w:t>
            </w:r>
          </w:p>
        </w:tc>
      </w:tr>
      <w:tr>
        <w:tblPrEx>
          <w:tblCellMar>
            <w:top w:w="0" w:type="dxa"/>
            <w:left w:w="108" w:type="dxa"/>
            <w:bottom w:w="0" w:type="dxa"/>
            <w:right w:w="108" w:type="dxa"/>
          </w:tblCellMar>
        </w:tblPrEx>
        <w:tc>
          <w:tcPr>
            <w:tcW w:w="720" w:type="dxa"/>
            <w:vMerge w:val="restart"/>
            <w:tcBorders>
              <w:top w:val="single" w:color="000000" w:sz="4" w:space="0"/>
              <w:left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效益指标</w:t>
            </w:r>
          </w:p>
        </w:tc>
        <w:tc>
          <w:tcPr>
            <w:tcW w:w="3105"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经济效益</w:t>
            </w:r>
          </w:p>
        </w:tc>
        <w:tc>
          <w:tcPr>
            <w:tcW w:w="1935"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保障社会经济平稳运行</w:t>
            </w:r>
          </w:p>
        </w:tc>
        <w:tc>
          <w:tcPr>
            <w:tcW w:w="990"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平稳</w:t>
            </w:r>
          </w:p>
        </w:tc>
        <w:tc>
          <w:tcPr>
            <w:tcW w:w="3520"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对经济效益的影响是否达到预期效果</w:t>
            </w:r>
            <w:r>
              <w:rPr>
                <w:rFonts w:hint="eastAsia" w:ascii="方正仿宋_GBK" w:hAnsi="方正仿宋_GBK" w:eastAsia="方正仿宋_GBK" w:cs="方正仿宋_GBK"/>
                <w:color w:val="000000"/>
                <w:kern w:val="0"/>
                <w:sz w:val="18"/>
                <w:szCs w:val="18"/>
              </w:rPr>
              <w:t>（5分）</w:t>
            </w:r>
          </w:p>
        </w:tc>
        <w:tc>
          <w:tcPr>
            <w:tcW w:w="3185"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对经济效益的影响达到预期效果，得5分</w:t>
            </w:r>
          </w:p>
        </w:tc>
        <w:tc>
          <w:tcPr>
            <w:tcW w:w="586"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w:t>
            </w:r>
          </w:p>
        </w:tc>
        <w:tc>
          <w:tcPr>
            <w:tcW w:w="614" w:type="dxa"/>
            <w:tcBorders>
              <w:top w:val="single" w:color="000000"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w:t>
            </w:r>
          </w:p>
        </w:tc>
      </w:tr>
      <w:tr>
        <w:tblPrEx>
          <w:tblCellMar>
            <w:top w:w="0" w:type="dxa"/>
            <w:left w:w="108" w:type="dxa"/>
            <w:bottom w:w="0" w:type="dxa"/>
            <w:right w:w="108" w:type="dxa"/>
          </w:tblCellMar>
        </w:tblPrEx>
        <w:tc>
          <w:tcPr>
            <w:tcW w:w="720" w:type="dxa"/>
            <w:vMerge w:val="continue"/>
            <w:tcBorders>
              <w:left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p>
        </w:tc>
        <w:tc>
          <w:tcPr>
            <w:tcW w:w="3105"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社会效益</w:t>
            </w:r>
          </w:p>
        </w:tc>
        <w:tc>
          <w:tcPr>
            <w:tcW w:w="1935"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维护社会治安秩序</w:t>
            </w:r>
          </w:p>
        </w:tc>
        <w:tc>
          <w:tcPr>
            <w:tcW w:w="990"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平稳</w:t>
            </w:r>
          </w:p>
        </w:tc>
        <w:tc>
          <w:tcPr>
            <w:tcW w:w="3520"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对社会效益的影响是否达到预期效果</w:t>
            </w:r>
            <w:r>
              <w:rPr>
                <w:rFonts w:hint="eastAsia" w:ascii="方正仿宋_GBK" w:hAnsi="方正仿宋_GBK" w:eastAsia="方正仿宋_GBK" w:cs="方正仿宋_GBK"/>
                <w:color w:val="000000"/>
                <w:kern w:val="0"/>
                <w:sz w:val="18"/>
                <w:szCs w:val="18"/>
              </w:rPr>
              <w:t>（5分）</w:t>
            </w:r>
          </w:p>
        </w:tc>
        <w:tc>
          <w:tcPr>
            <w:tcW w:w="3185"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对社会效益的影响达到预期效果，得5分</w:t>
            </w:r>
          </w:p>
        </w:tc>
        <w:tc>
          <w:tcPr>
            <w:tcW w:w="586"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w:t>
            </w:r>
          </w:p>
        </w:tc>
        <w:tc>
          <w:tcPr>
            <w:tcW w:w="614" w:type="dxa"/>
            <w:tcBorders>
              <w:top w:val="single" w:color="auto" w:sz="4" w:space="0"/>
              <w:left w:val="single" w:color="000000" w:sz="4" w:space="0"/>
              <w:bottom w:val="single" w:color="auto"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5</w:t>
            </w:r>
          </w:p>
        </w:tc>
      </w:tr>
      <w:tr>
        <w:tblPrEx>
          <w:tblCellMar>
            <w:top w:w="0" w:type="dxa"/>
            <w:left w:w="108" w:type="dxa"/>
            <w:bottom w:w="0" w:type="dxa"/>
            <w:right w:w="108" w:type="dxa"/>
          </w:tblCellMar>
        </w:tblPrEx>
        <w:trPr>
          <w:trHeight w:val="1102" w:hRule="atLeast"/>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满意度指标</w:t>
            </w:r>
          </w:p>
        </w:tc>
        <w:tc>
          <w:tcPr>
            <w:tcW w:w="310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服务对象满意度</w:t>
            </w:r>
          </w:p>
        </w:tc>
        <w:tc>
          <w:tcPr>
            <w:tcW w:w="193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公安队伍满意度</w:t>
            </w:r>
          </w:p>
        </w:tc>
        <w:tc>
          <w:tcPr>
            <w:tcW w:w="99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kern w:val="0"/>
                <w:sz w:val="24"/>
                <w:szCs w:val="24"/>
              </w:rPr>
            </w:pPr>
            <w:r>
              <w:rPr>
                <w:rFonts w:hint="eastAsia" w:ascii="方正仿宋_GBK" w:hAnsi="方正仿宋_GBK" w:eastAsia="方正仿宋_GBK" w:cs="方正仿宋_GBK"/>
                <w:color w:val="000000"/>
                <w:kern w:val="0"/>
                <w:sz w:val="24"/>
                <w:szCs w:val="24"/>
              </w:rPr>
              <w:t>≥95%</w:t>
            </w:r>
          </w:p>
        </w:tc>
        <w:tc>
          <w:tcPr>
            <w:tcW w:w="3520"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对公安队伍满意度是否达到预期标准</w:t>
            </w:r>
            <w:r>
              <w:rPr>
                <w:rFonts w:hint="eastAsia" w:ascii="方正仿宋_GBK" w:hAnsi="方正仿宋_GBK" w:eastAsia="方正仿宋_GBK" w:cs="方正仿宋_GBK"/>
                <w:color w:val="000000"/>
                <w:kern w:val="0"/>
                <w:sz w:val="18"/>
                <w:szCs w:val="18"/>
              </w:rPr>
              <w:t>（10分）</w:t>
            </w:r>
          </w:p>
        </w:tc>
        <w:tc>
          <w:tcPr>
            <w:tcW w:w="3185"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18"/>
                <w:szCs w:val="18"/>
              </w:rPr>
            </w:pPr>
            <w:r>
              <w:rPr>
                <w:rFonts w:hint="eastAsia" w:ascii="方正仿宋_GBK" w:hAnsi="方正仿宋_GBK" w:eastAsia="方正仿宋_GBK" w:cs="方正仿宋_GBK"/>
                <w:color w:val="000000"/>
                <w:sz w:val="18"/>
                <w:szCs w:val="18"/>
              </w:rPr>
              <w:t>对公安队伍满意度达到预期标准，得10分</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10</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10</w:t>
            </w:r>
          </w:p>
        </w:tc>
      </w:tr>
      <w:tr>
        <w:tblPrEx>
          <w:tblCellMar>
            <w:top w:w="0" w:type="dxa"/>
            <w:left w:w="108" w:type="dxa"/>
            <w:bottom w:w="0" w:type="dxa"/>
            <w:right w:w="108" w:type="dxa"/>
          </w:tblCellMar>
        </w:tblPrEx>
        <w:trPr>
          <w:trHeight w:val="499" w:hRule="atLeast"/>
        </w:trPr>
        <w:tc>
          <w:tcPr>
            <w:tcW w:w="13455" w:type="dxa"/>
            <w:gridSpan w:val="6"/>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合    计</w:t>
            </w:r>
          </w:p>
        </w:tc>
        <w:tc>
          <w:tcPr>
            <w:tcW w:w="586"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textAlignment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kern w:val="0"/>
                <w:sz w:val="24"/>
                <w:szCs w:val="24"/>
              </w:rPr>
              <w:t>100</w:t>
            </w:r>
          </w:p>
        </w:tc>
        <w:tc>
          <w:tcPr>
            <w:tcW w:w="614" w:type="dxa"/>
            <w:tcBorders>
              <w:top w:val="single" w:color="000000" w:sz="4" w:space="0"/>
              <w:left w:val="single" w:color="000000" w:sz="4" w:space="0"/>
              <w:bottom w:val="single" w:color="000000" w:sz="4" w:space="0"/>
              <w:right w:val="single" w:color="000000" w:sz="4" w:space="0"/>
            </w:tcBorders>
            <w:noWrap/>
            <w:vAlign w:val="center"/>
          </w:tcPr>
          <w:p>
            <w:pPr>
              <w:widowControl/>
              <w:snapToGrid w:val="0"/>
              <w:jc w:val="center"/>
              <w:rPr>
                <w:rFonts w:ascii="方正仿宋_GBK" w:hAnsi="方正仿宋_GBK" w:eastAsia="方正仿宋_GBK" w:cs="方正仿宋_GBK"/>
                <w:color w:val="000000"/>
                <w:sz w:val="24"/>
                <w:szCs w:val="24"/>
              </w:rPr>
            </w:pPr>
            <w:r>
              <w:rPr>
                <w:rFonts w:hint="eastAsia" w:ascii="方正仿宋_GBK" w:hAnsi="方正仿宋_GBK" w:eastAsia="方正仿宋_GBK" w:cs="方正仿宋_GBK"/>
                <w:color w:val="000000"/>
                <w:sz w:val="24"/>
                <w:szCs w:val="24"/>
              </w:rPr>
              <w:t>99</w:t>
            </w:r>
          </w:p>
        </w:tc>
      </w:tr>
    </w:tbl>
    <w:p>
      <w:pPr>
        <w:jc w:val="center"/>
        <w:rPr>
          <w:rFonts w:ascii="Times New Roman" w:hAnsi="Times New Roman" w:eastAsia="方正小标宋简体" w:cs="Times New Roman"/>
          <w:sz w:val="36"/>
          <w:szCs w:val="36"/>
        </w:rPr>
      </w:pPr>
    </w:p>
    <w:p>
      <w:pPr>
        <w:widowControl/>
        <w:tabs>
          <w:tab w:val="left" w:pos="2418"/>
        </w:tabs>
        <w:jc w:val="left"/>
        <w:rPr>
          <w:rFonts w:ascii="Trebuchet MS" w:hAnsi="Trebuchet MS" w:eastAsia="仿宋_GB2312" w:cs="Trebuchet MS"/>
          <w:sz w:val="24"/>
          <w:szCs w:val="24"/>
        </w:rPr>
      </w:pPr>
      <w:r>
        <w:rPr>
          <w:rFonts w:ascii="Trebuchet MS" w:hAnsi="Trebuchet MS" w:eastAsia="仿宋_GB2312" w:cs="Trebuchet MS"/>
          <w:sz w:val="24"/>
          <w:szCs w:val="24"/>
        </w:rPr>
        <w:tab/>
      </w:r>
    </w:p>
    <w:p>
      <w:pPr>
        <w:spacing w:line="600" w:lineRule="exact"/>
        <w:rPr>
          <w:rFonts w:ascii="Trebuchet MS" w:hAnsi="Trebuchet MS" w:eastAsia="方正仿宋_GBK" w:cs="Trebuchet MS"/>
          <w:sz w:val="32"/>
          <w:szCs w:val="32"/>
          <w:shd w:val="clear" w:color="auto" w:fill="FFFFFF"/>
        </w:rPr>
      </w:pPr>
    </w:p>
    <w:sectPr>
      <w:pgSz w:w="16838" w:h="11906" w:orient="landscape"/>
      <w:pgMar w:top="720" w:right="720" w:bottom="720" w:left="720" w:header="851" w:footer="567"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仿宋_GBK">
    <w:panose1 w:val="02000000000000000000"/>
    <w:charset w:val="86"/>
    <w:family w:val="script"/>
    <w:pitch w:val="default"/>
    <w:sig w:usb0="A00002BF" w:usb1="38CF7CFA" w:usb2="00082016" w:usb3="00000000" w:csb0="00040001" w:csb1="00000000"/>
  </w:font>
  <w:font w:name="方正楷体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Trebuchet MS">
    <w:panose1 w:val="020B0603020202020204"/>
    <w:charset w:val="00"/>
    <w:family w:val="swiss"/>
    <w:pitch w:val="default"/>
    <w:sig w:usb0="000006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center"/>
      <w:rPr>
        <w:rFonts w:ascii="方正仿宋_GBK" w:eastAsia="方正仿宋_GBK"/>
        <w:sz w:val="21"/>
        <w:szCs w:val="21"/>
      </w:rPr>
    </w:pPr>
    <w:r>
      <w:rPr>
        <w:rFonts w:hint="eastAsia" w:ascii="方正仿宋_GBK" w:eastAsia="方正仿宋_GBK"/>
        <w:sz w:val="21"/>
        <w:szCs w:val="21"/>
      </w:rPr>
      <w:fldChar w:fldCharType="begin"/>
    </w:r>
    <w:r>
      <w:rPr>
        <w:rFonts w:hint="eastAsia" w:ascii="方正仿宋_GBK" w:eastAsia="方正仿宋_GBK"/>
        <w:sz w:val="21"/>
        <w:szCs w:val="21"/>
      </w:rPr>
      <w:instrText xml:space="preserve"> PAGE   \* MERGEFORMAT </w:instrText>
    </w:r>
    <w:r>
      <w:rPr>
        <w:rFonts w:hint="eastAsia" w:ascii="方正仿宋_GBK" w:eastAsia="方正仿宋_GBK"/>
        <w:sz w:val="21"/>
        <w:szCs w:val="21"/>
      </w:rPr>
      <w:fldChar w:fldCharType="separate"/>
    </w:r>
    <w:r>
      <w:rPr>
        <w:rFonts w:ascii="方正仿宋_GBK" w:eastAsia="方正仿宋_GBK"/>
        <w:sz w:val="21"/>
        <w:szCs w:val="21"/>
        <w:lang w:val="zh-CN"/>
      </w:rPr>
      <w:t>11</w:t>
    </w:r>
    <w:r>
      <w:rPr>
        <w:rFonts w:hint="eastAsia" w:ascii="方正仿宋_GBK" w:eastAsia="方正仿宋_GBK"/>
        <w:sz w:val="21"/>
        <w:szCs w:val="21"/>
      </w:rPr>
      <w:fldChar w:fldCharType="end"/>
    </w:r>
  </w:p>
  <w:p>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EBE284"/>
    <w:multiLevelType w:val="singleLevel"/>
    <w:tmpl w:val="08EBE284"/>
    <w:lvl w:ilvl="0" w:tentative="0">
      <w:start w:val="4"/>
      <w:numFmt w:val="decimal"/>
      <w:suff w:val="nothing"/>
      <w:lvlText w:val="%1、"/>
      <w:lvlJc w:val="left"/>
    </w:lvl>
  </w:abstractNum>
  <w:abstractNum w:abstractNumId="1">
    <w:nsid w:val="415E8121"/>
    <w:multiLevelType w:val="singleLevel"/>
    <w:tmpl w:val="415E8121"/>
    <w:lvl w:ilvl="0" w:tentative="0">
      <w:start w:val="3"/>
      <w:numFmt w:val="chineseCounting"/>
      <w:suff w:val="nothing"/>
      <w:lvlText w:val="（%1）"/>
      <w:lvlJc w:val="left"/>
      <w:rPr>
        <w:rFonts w:hint="eastAsia"/>
      </w:rPr>
    </w:lvl>
  </w:abstractNum>
  <w:abstractNum w:abstractNumId="2">
    <w:nsid w:val="4587D1DF"/>
    <w:multiLevelType w:val="singleLevel"/>
    <w:tmpl w:val="4587D1DF"/>
    <w:lvl w:ilvl="0" w:tentative="0">
      <w:start w:val="1"/>
      <w:numFmt w:val="chineseCounting"/>
      <w:suff w:val="nothing"/>
      <w:lvlText w:val="（%1）"/>
      <w:lvlJc w:val="left"/>
      <w:rPr>
        <w:rFonts w:hint="eastAsia"/>
      </w:rPr>
    </w:lvl>
  </w:abstractNum>
  <w:abstractNum w:abstractNumId="3">
    <w:nsid w:val="4A8DC280"/>
    <w:multiLevelType w:val="singleLevel"/>
    <w:tmpl w:val="4A8DC280"/>
    <w:lvl w:ilvl="0" w:tentative="0">
      <w:start w:val="2"/>
      <w:numFmt w:val="chineseCounting"/>
      <w:suff w:val="nothing"/>
      <w:lvlText w:val="%1、"/>
      <w:lvlJc w:val="left"/>
      <w:rPr>
        <w:rFonts w:hint="eastAsia"/>
      </w:rPr>
    </w:lvl>
  </w:abstractNum>
  <w:abstractNum w:abstractNumId="4">
    <w:nsid w:val="4FCBBAC0"/>
    <w:multiLevelType w:val="singleLevel"/>
    <w:tmpl w:val="4FCBBAC0"/>
    <w:lvl w:ilvl="0" w:tentative="0">
      <w:start w:val="2"/>
      <w:numFmt w:val="decimal"/>
      <w:suff w:val="nothing"/>
      <w:lvlText w:val="%1、"/>
      <w:lvlJc w:val="left"/>
      <w:pPr>
        <w:ind w:left="-10"/>
      </w:pPr>
    </w:lvl>
  </w:abstractNum>
  <w:abstractNum w:abstractNumId="5">
    <w:nsid w:val="5CE69930"/>
    <w:multiLevelType w:val="singleLevel"/>
    <w:tmpl w:val="5CE69930"/>
    <w:lvl w:ilvl="0" w:tentative="0">
      <w:start w:val="1"/>
      <w:numFmt w:val="decimal"/>
      <w:suff w:val="nothing"/>
      <w:lvlText w:val="%1、"/>
      <w:lvlJc w:val="left"/>
    </w:lvl>
  </w:abstractNum>
  <w:num w:numId="1">
    <w:abstractNumId w:val="0"/>
  </w:num>
  <w:num w:numId="2">
    <w:abstractNumId w:val="4"/>
  </w:num>
  <w:num w:numId="3">
    <w:abstractNumId w:val="1"/>
  </w:num>
  <w:num w:numId="4">
    <w:abstractNumId w:val="5"/>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mRiZDA1MDdlOTZiMWEwMjg4OTI1NzUyZjU5ZjRlZGUifQ=="/>
  </w:docVars>
  <w:rsids>
    <w:rsidRoot w:val="005B5CEC"/>
    <w:rsid w:val="0001237F"/>
    <w:rsid w:val="00042099"/>
    <w:rsid w:val="00063D00"/>
    <w:rsid w:val="000858F8"/>
    <w:rsid w:val="000A4B6B"/>
    <w:rsid w:val="000E4312"/>
    <w:rsid w:val="00140B5A"/>
    <w:rsid w:val="00171EE5"/>
    <w:rsid w:val="001B1A47"/>
    <w:rsid w:val="001B3643"/>
    <w:rsid w:val="001B7170"/>
    <w:rsid w:val="001E2D91"/>
    <w:rsid w:val="00203AFE"/>
    <w:rsid w:val="0023570B"/>
    <w:rsid w:val="00250FE4"/>
    <w:rsid w:val="00264945"/>
    <w:rsid w:val="002C3876"/>
    <w:rsid w:val="002E374F"/>
    <w:rsid w:val="002E5179"/>
    <w:rsid w:val="003012A4"/>
    <w:rsid w:val="00320534"/>
    <w:rsid w:val="003353F6"/>
    <w:rsid w:val="00360487"/>
    <w:rsid w:val="00366B54"/>
    <w:rsid w:val="003739F1"/>
    <w:rsid w:val="00385AAB"/>
    <w:rsid w:val="00391734"/>
    <w:rsid w:val="003B2107"/>
    <w:rsid w:val="003B3C7A"/>
    <w:rsid w:val="003C2B3F"/>
    <w:rsid w:val="003D0B68"/>
    <w:rsid w:val="003E1083"/>
    <w:rsid w:val="003F4873"/>
    <w:rsid w:val="00484003"/>
    <w:rsid w:val="004F7328"/>
    <w:rsid w:val="005033DB"/>
    <w:rsid w:val="00503617"/>
    <w:rsid w:val="0052696D"/>
    <w:rsid w:val="00530DAC"/>
    <w:rsid w:val="00541990"/>
    <w:rsid w:val="00550249"/>
    <w:rsid w:val="00550998"/>
    <w:rsid w:val="005B5CEC"/>
    <w:rsid w:val="005D4DEE"/>
    <w:rsid w:val="005E7385"/>
    <w:rsid w:val="00720FE0"/>
    <w:rsid w:val="007358D1"/>
    <w:rsid w:val="00770BFF"/>
    <w:rsid w:val="007B24AF"/>
    <w:rsid w:val="00837520"/>
    <w:rsid w:val="008904AB"/>
    <w:rsid w:val="008B029A"/>
    <w:rsid w:val="008B3208"/>
    <w:rsid w:val="008B3BE7"/>
    <w:rsid w:val="008B6873"/>
    <w:rsid w:val="008D4064"/>
    <w:rsid w:val="00913931"/>
    <w:rsid w:val="009472BE"/>
    <w:rsid w:val="009A1264"/>
    <w:rsid w:val="009D5767"/>
    <w:rsid w:val="00AD15A4"/>
    <w:rsid w:val="00AD5E80"/>
    <w:rsid w:val="00AE52BA"/>
    <w:rsid w:val="00AF4120"/>
    <w:rsid w:val="00B1763E"/>
    <w:rsid w:val="00B346B6"/>
    <w:rsid w:val="00BC0954"/>
    <w:rsid w:val="00BD2938"/>
    <w:rsid w:val="00C25DD3"/>
    <w:rsid w:val="00C316B4"/>
    <w:rsid w:val="00C3725A"/>
    <w:rsid w:val="00C40A54"/>
    <w:rsid w:val="00C421FD"/>
    <w:rsid w:val="00C448C8"/>
    <w:rsid w:val="00C83F74"/>
    <w:rsid w:val="00C90245"/>
    <w:rsid w:val="00CC7B18"/>
    <w:rsid w:val="00CE0BA9"/>
    <w:rsid w:val="00D76978"/>
    <w:rsid w:val="00D919BA"/>
    <w:rsid w:val="00D95CC2"/>
    <w:rsid w:val="00DA0322"/>
    <w:rsid w:val="00DA7A2E"/>
    <w:rsid w:val="00DD385C"/>
    <w:rsid w:val="00DD673A"/>
    <w:rsid w:val="00DF2CAA"/>
    <w:rsid w:val="00E07990"/>
    <w:rsid w:val="00E40D1A"/>
    <w:rsid w:val="00E513D0"/>
    <w:rsid w:val="00E83552"/>
    <w:rsid w:val="00EF2DAB"/>
    <w:rsid w:val="00EF4048"/>
    <w:rsid w:val="00F03E3D"/>
    <w:rsid w:val="00F04346"/>
    <w:rsid w:val="00F3529E"/>
    <w:rsid w:val="00F6589E"/>
    <w:rsid w:val="00F82C1F"/>
    <w:rsid w:val="00FB30A2"/>
    <w:rsid w:val="01027C35"/>
    <w:rsid w:val="01373C39"/>
    <w:rsid w:val="0170404F"/>
    <w:rsid w:val="017C407C"/>
    <w:rsid w:val="01833C12"/>
    <w:rsid w:val="020E6E6E"/>
    <w:rsid w:val="02353C60"/>
    <w:rsid w:val="02433E45"/>
    <w:rsid w:val="02922A4D"/>
    <w:rsid w:val="0298354F"/>
    <w:rsid w:val="02C7409E"/>
    <w:rsid w:val="02FB35F3"/>
    <w:rsid w:val="031843B7"/>
    <w:rsid w:val="03326C8B"/>
    <w:rsid w:val="03905FD8"/>
    <w:rsid w:val="03B31C99"/>
    <w:rsid w:val="04207B52"/>
    <w:rsid w:val="044245C6"/>
    <w:rsid w:val="04490D17"/>
    <w:rsid w:val="04D8355C"/>
    <w:rsid w:val="04EE14A4"/>
    <w:rsid w:val="050723CE"/>
    <w:rsid w:val="05444432"/>
    <w:rsid w:val="05A46A03"/>
    <w:rsid w:val="05C22B02"/>
    <w:rsid w:val="061D7C3B"/>
    <w:rsid w:val="06341813"/>
    <w:rsid w:val="065B7390"/>
    <w:rsid w:val="067B6479"/>
    <w:rsid w:val="06A31DF0"/>
    <w:rsid w:val="06AA71FC"/>
    <w:rsid w:val="06BA1A15"/>
    <w:rsid w:val="072D77D5"/>
    <w:rsid w:val="073161DB"/>
    <w:rsid w:val="07DF17F7"/>
    <w:rsid w:val="07E76A42"/>
    <w:rsid w:val="08647852"/>
    <w:rsid w:val="0869175B"/>
    <w:rsid w:val="09336C26"/>
    <w:rsid w:val="095600DF"/>
    <w:rsid w:val="0974768F"/>
    <w:rsid w:val="098936BC"/>
    <w:rsid w:val="098F44C1"/>
    <w:rsid w:val="099F3D57"/>
    <w:rsid w:val="09AF7051"/>
    <w:rsid w:val="09B82515"/>
    <w:rsid w:val="09C32C91"/>
    <w:rsid w:val="09C51A18"/>
    <w:rsid w:val="0A0E4386"/>
    <w:rsid w:val="0A286239"/>
    <w:rsid w:val="0A293CBB"/>
    <w:rsid w:val="0A5B0AFA"/>
    <w:rsid w:val="0A9642EF"/>
    <w:rsid w:val="0A9F717D"/>
    <w:rsid w:val="0AAF7417"/>
    <w:rsid w:val="0B005F1C"/>
    <w:rsid w:val="0B0523A4"/>
    <w:rsid w:val="0B6C304D"/>
    <w:rsid w:val="0BD33CF6"/>
    <w:rsid w:val="0BFC747E"/>
    <w:rsid w:val="0C300E1D"/>
    <w:rsid w:val="0C557747"/>
    <w:rsid w:val="0CED4443"/>
    <w:rsid w:val="0D154302"/>
    <w:rsid w:val="0D211704"/>
    <w:rsid w:val="0D847E39"/>
    <w:rsid w:val="0D9C32E2"/>
    <w:rsid w:val="0DBC04D7"/>
    <w:rsid w:val="0DC71BA8"/>
    <w:rsid w:val="0E1B1632"/>
    <w:rsid w:val="0E272EC6"/>
    <w:rsid w:val="0E2D0652"/>
    <w:rsid w:val="0E342E47"/>
    <w:rsid w:val="0E9C6218"/>
    <w:rsid w:val="0EB175A7"/>
    <w:rsid w:val="0EC904D1"/>
    <w:rsid w:val="0ED974DB"/>
    <w:rsid w:val="0EF33893"/>
    <w:rsid w:val="0F2B146F"/>
    <w:rsid w:val="0F5F09C4"/>
    <w:rsid w:val="0F971E23"/>
    <w:rsid w:val="0FBA4210"/>
    <w:rsid w:val="0FFB40C6"/>
    <w:rsid w:val="10077B76"/>
    <w:rsid w:val="1009571F"/>
    <w:rsid w:val="101C207C"/>
    <w:rsid w:val="1026620F"/>
    <w:rsid w:val="10B14AEE"/>
    <w:rsid w:val="11746573"/>
    <w:rsid w:val="117B32BD"/>
    <w:rsid w:val="118306C9"/>
    <w:rsid w:val="11CD7844"/>
    <w:rsid w:val="11D41B62"/>
    <w:rsid w:val="11FD2592"/>
    <w:rsid w:val="121D74BC"/>
    <w:rsid w:val="122946DB"/>
    <w:rsid w:val="12427803"/>
    <w:rsid w:val="124A6E0E"/>
    <w:rsid w:val="12A65AFE"/>
    <w:rsid w:val="135463C6"/>
    <w:rsid w:val="13560005"/>
    <w:rsid w:val="135B539A"/>
    <w:rsid w:val="13935EAB"/>
    <w:rsid w:val="13D754E4"/>
    <w:rsid w:val="14640782"/>
    <w:rsid w:val="14656E95"/>
    <w:rsid w:val="146E1683"/>
    <w:rsid w:val="147B3C2A"/>
    <w:rsid w:val="14856738"/>
    <w:rsid w:val="148F3F1A"/>
    <w:rsid w:val="14AB2494"/>
    <w:rsid w:val="1555138F"/>
    <w:rsid w:val="1558782F"/>
    <w:rsid w:val="157D000D"/>
    <w:rsid w:val="15B648AC"/>
    <w:rsid w:val="15C02C3D"/>
    <w:rsid w:val="15CB4851"/>
    <w:rsid w:val="16321C77"/>
    <w:rsid w:val="167F28C6"/>
    <w:rsid w:val="16905894"/>
    <w:rsid w:val="16B1384A"/>
    <w:rsid w:val="16F861BD"/>
    <w:rsid w:val="177F771A"/>
    <w:rsid w:val="179518BE"/>
    <w:rsid w:val="17FB4AE6"/>
    <w:rsid w:val="182511AD"/>
    <w:rsid w:val="18CB4360"/>
    <w:rsid w:val="18D57CCC"/>
    <w:rsid w:val="196E49C7"/>
    <w:rsid w:val="19707ECA"/>
    <w:rsid w:val="198A0A74"/>
    <w:rsid w:val="199D7549"/>
    <w:rsid w:val="19EF621A"/>
    <w:rsid w:val="1A6B35E5"/>
    <w:rsid w:val="1A7C1CC2"/>
    <w:rsid w:val="1ACC2385"/>
    <w:rsid w:val="1AF225C5"/>
    <w:rsid w:val="1AF30046"/>
    <w:rsid w:val="1B1069E9"/>
    <w:rsid w:val="1B2453AC"/>
    <w:rsid w:val="1B4A2C53"/>
    <w:rsid w:val="1B550FE4"/>
    <w:rsid w:val="1B5744E8"/>
    <w:rsid w:val="1B5E76F6"/>
    <w:rsid w:val="1B9A3CD7"/>
    <w:rsid w:val="1BBA678A"/>
    <w:rsid w:val="1BCD79A9"/>
    <w:rsid w:val="1C014BF4"/>
    <w:rsid w:val="1C057982"/>
    <w:rsid w:val="1C0E6215"/>
    <w:rsid w:val="1C7D3C04"/>
    <w:rsid w:val="1CCC4DA5"/>
    <w:rsid w:val="1CE44F73"/>
    <w:rsid w:val="1CE529F5"/>
    <w:rsid w:val="1CEA2700"/>
    <w:rsid w:val="1D22285A"/>
    <w:rsid w:val="1D6C4859"/>
    <w:rsid w:val="1D7A676B"/>
    <w:rsid w:val="1D885A81"/>
    <w:rsid w:val="1DE67F4B"/>
    <w:rsid w:val="1E146D3B"/>
    <w:rsid w:val="1E7E4FA7"/>
    <w:rsid w:val="1E835EDD"/>
    <w:rsid w:val="1EA8395A"/>
    <w:rsid w:val="1EB80371"/>
    <w:rsid w:val="1F435D57"/>
    <w:rsid w:val="1F4C6356"/>
    <w:rsid w:val="20B8113C"/>
    <w:rsid w:val="20ED3B94"/>
    <w:rsid w:val="20FD3E2F"/>
    <w:rsid w:val="213E269A"/>
    <w:rsid w:val="21525AB7"/>
    <w:rsid w:val="215E734B"/>
    <w:rsid w:val="21824088"/>
    <w:rsid w:val="2187050F"/>
    <w:rsid w:val="219339FC"/>
    <w:rsid w:val="21BE2BE8"/>
    <w:rsid w:val="21C27070"/>
    <w:rsid w:val="21D96C95"/>
    <w:rsid w:val="21E82062"/>
    <w:rsid w:val="21FF4545"/>
    <w:rsid w:val="222D671F"/>
    <w:rsid w:val="22422435"/>
    <w:rsid w:val="22467649"/>
    <w:rsid w:val="22560A05"/>
    <w:rsid w:val="225C3AC8"/>
    <w:rsid w:val="227A3683"/>
    <w:rsid w:val="22962F1E"/>
    <w:rsid w:val="22B06CF8"/>
    <w:rsid w:val="22E66E11"/>
    <w:rsid w:val="22E86E52"/>
    <w:rsid w:val="22FB0071"/>
    <w:rsid w:val="23214179"/>
    <w:rsid w:val="232D40C3"/>
    <w:rsid w:val="238D5D3D"/>
    <w:rsid w:val="23FC3497"/>
    <w:rsid w:val="23FD0015"/>
    <w:rsid w:val="240D3B04"/>
    <w:rsid w:val="241A2A47"/>
    <w:rsid w:val="243954FA"/>
    <w:rsid w:val="245071DD"/>
    <w:rsid w:val="24952391"/>
    <w:rsid w:val="24BC0052"/>
    <w:rsid w:val="24BC5AD3"/>
    <w:rsid w:val="24E9569E"/>
    <w:rsid w:val="25556F4C"/>
    <w:rsid w:val="25764F02"/>
    <w:rsid w:val="25920446"/>
    <w:rsid w:val="25B6156F"/>
    <w:rsid w:val="25CA5983"/>
    <w:rsid w:val="26372DC2"/>
    <w:rsid w:val="26E4095C"/>
    <w:rsid w:val="27097897"/>
    <w:rsid w:val="27A60A1A"/>
    <w:rsid w:val="27B35B31"/>
    <w:rsid w:val="27C24AC7"/>
    <w:rsid w:val="27EE4691"/>
    <w:rsid w:val="27F07B94"/>
    <w:rsid w:val="280B1269"/>
    <w:rsid w:val="28287CEE"/>
    <w:rsid w:val="283A348C"/>
    <w:rsid w:val="2849319B"/>
    <w:rsid w:val="288D5494"/>
    <w:rsid w:val="28D24954"/>
    <w:rsid w:val="28E9232B"/>
    <w:rsid w:val="290A60E3"/>
    <w:rsid w:val="29182E7A"/>
    <w:rsid w:val="29314CBB"/>
    <w:rsid w:val="29521D5A"/>
    <w:rsid w:val="29642175"/>
    <w:rsid w:val="2A667DCB"/>
    <w:rsid w:val="2A914C65"/>
    <w:rsid w:val="2A9C51F4"/>
    <w:rsid w:val="2B5946AE"/>
    <w:rsid w:val="2B8354F2"/>
    <w:rsid w:val="2B8F538B"/>
    <w:rsid w:val="2BA22524"/>
    <w:rsid w:val="2BA97CE6"/>
    <w:rsid w:val="2BCA7AFE"/>
    <w:rsid w:val="2C287392"/>
    <w:rsid w:val="2C9917B7"/>
    <w:rsid w:val="2CB26E8F"/>
    <w:rsid w:val="2CB745EA"/>
    <w:rsid w:val="2D187C4C"/>
    <w:rsid w:val="2D7D6B55"/>
    <w:rsid w:val="2DB85492"/>
    <w:rsid w:val="2E265F2B"/>
    <w:rsid w:val="2E476840"/>
    <w:rsid w:val="2E6B6521"/>
    <w:rsid w:val="2E984FF9"/>
    <w:rsid w:val="2EA36628"/>
    <w:rsid w:val="2EB021A6"/>
    <w:rsid w:val="2ED316F4"/>
    <w:rsid w:val="2EF24E3E"/>
    <w:rsid w:val="2EF7039C"/>
    <w:rsid w:val="2F0672B1"/>
    <w:rsid w:val="2F2B399A"/>
    <w:rsid w:val="2F3E0970"/>
    <w:rsid w:val="2F4C58A8"/>
    <w:rsid w:val="2F806FFC"/>
    <w:rsid w:val="2F840D52"/>
    <w:rsid w:val="304C544B"/>
    <w:rsid w:val="305C3852"/>
    <w:rsid w:val="30622E72"/>
    <w:rsid w:val="30773D10"/>
    <w:rsid w:val="310F0A0C"/>
    <w:rsid w:val="312C07E0"/>
    <w:rsid w:val="31813F12"/>
    <w:rsid w:val="31F26557"/>
    <w:rsid w:val="320F5E50"/>
    <w:rsid w:val="32252FA8"/>
    <w:rsid w:val="32BF4784"/>
    <w:rsid w:val="32CA6AE3"/>
    <w:rsid w:val="33346E7E"/>
    <w:rsid w:val="33353386"/>
    <w:rsid w:val="33645A78"/>
    <w:rsid w:val="337066EC"/>
    <w:rsid w:val="339F1FBF"/>
    <w:rsid w:val="33B40C5F"/>
    <w:rsid w:val="33BB606C"/>
    <w:rsid w:val="33FD29CA"/>
    <w:rsid w:val="341579FF"/>
    <w:rsid w:val="34344A31"/>
    <w:rsid w:val="34785525"/>
    <w:rsid w:val="34D658BF"/>
    <w:rsid w:val="3538602B"/>
    <w:rsid w:val="35624EC6"/>
    <w:rsid w:val="35DE286E"/>
    <w:rsid w:val="360A6BB5"/>
    <w:rsid w:val="36142D48"/>
    <w:rsid w:val="3648449C"/>
    <w:rsid w:val="36965B9D"/>
    <w:rsid w:val="36AB3FD2"/>
    <w:rsid w:val="36DD40B2"/>
    <w:rsid w:val="370F6463"/>
    <w:rsid w:val="37C624B2"/>
    <w:rsid w:val="37ED3EE3"/>
    <w:rsid w:val="3842555B"/>
    <w:rsid w:val="385D2002"/>
    <w:rsid w:val="38953CE0"/>
    <w:rsid w:val="38FB6F08"/>
    <w:rsid w:val="3908401F"/>
    <w:rsid w:val="390E5F29"/>
    <w:rsid w:val="39155CC9"/>
    <w:rsid w:val="391C2CC0"/>
    <w:rsid w:val="3941767C"/>
    <w:rsid w:val="396401AD"/>
    <w:rsid w:val="39756BD2"/>
    <w:rsid w:val="3A143258"/>
    <w:rsid w:val="3A1741DD"/>
    <w:rsid w:val="3A1D02E4"/>
    <w:rsid w:val="3A4849AC"/>
    <w:rsid w:val="3A736AF5"/>
    <w:rsid w:val="3AA328F4"/>
    <w:rsid w:val="3AD24910"/>
    <w:rsid w:val="3AD53316"/>
    <w:rsid w:val="3B337E2C"/>
    <w:rsid w:val="3B3955B9"/>
    <w:rsid w:val="3B3A303A"/>
    <w:rsid w:val="3B3F16C0"/>
    <w:rsid w:val="3B44115B"/>
    <w:rsid w:val="3B6236A0"/>
    <w:rsid w:val="3B774EF9"/>
    <w:rsid w:val="3BD918BF"/>
    <w:rsid w:val="3BF5596C"/>
    <w:rsid w:val="3C1A012A"/>
    <w:rsid w:val="3C8C0CE5"/>
    <w:rsid w:val="3CCE6F00"/>
    <w:rsid w:val="3CD970EB"/>
    <w:rsid w:val="3CDE58E9"/>
    <w:rsid w:val="3CE27DA1"/>
    <w:rsid w:val="3CE55274"/>
    <w:rsid w:val="3D130342"/>
    <w:rsid w:val="3D274DE4"/>
    <w:rsid w:val="3D313175"/>
    <w:rsid w:val="3D5A2CB5"/>
    <w:rsid w:val="3D9813E9"/>
    <w:rsid w:val="3DFF7046"/>
    <w:rsid w:val="3E0F72E0"/>
    <w:rsid w:val="3E8E1DAD"/>
    <w:rsid w:val="3E9571B9"/>
    <w:rsid w:val="3ED93269"/>
    <w:rsid w:val="3F00466A"/>
    <w:rsid w:val="3F127E08"/>
    <w:rsid w:val="3F2C09B1"/>
    <w:rsid w:val="3F4150D3"/>
    <w:rsid w:val="3F733CB0"/>
    <w:rsid w:val="3F8A45CE"/>
    <w:rsid w:val="3FA97081"/>
    <w:rsid w:val="3FC14728"/>
    <w:rsid w:val="403D2702"/>
    <w:rsid w:val="40554F9C"/>
    <w:rsid w:val="40B70D16"/>
    <w:rsid w:val="40BC23C2"/>
    <w:rsid w:val="40C43051"/>
    <w:rsid w:val="40D63D10"/>
    <w:rsid w:val="40EF6094"/>
    <w:rsid w:val="40F300AD"/>
    <w:rsid w:val="41B44B58"/>
    <w:rsid w:val="42382BB3"/>
    <w:rsid w:val="43315D2E"/>
    <w:rsid w:val="433171C2"/>
    <w:rsid w:val="433A5366"/>
    <w:rsid w:val="434D3DCB"/>
    <w:rsid w:val="43546802"/>
    <w:rsid w:val="435F3A0B"/>
    <w:rsid w:val="437370B7"/>
    <w:rsid w:val="43B60E25"/>
    <w:rsid w:val="43C6583D"/>
    <w:rsid w:val="43E87F06"/>
    <w:rsid w:val="44047FE8"/>
    <w:rsid w:val="44410A09"/>
    <w:rsid w:val="444D1C5E"/>
    <w:rsid w:val="444D217E"/>
    <w:rsid w:val="445A59DE"/>
    <w:rsid w:val="449E3321"/>
    <w:rsid w:val="44BA73CE"/>
    <w:rsid w:val="44C923DE"/>
    <w:rsid w:val="44CA7669"/>
    <w:rsid w:val="44D24A75"/>
    <w:rsid w:val="44F04025"/>
    <w:rsid w:val="450D13D7"/>
    <w:rsid w:val="4510235C"/>
    <w:rsid w:val="45197E89"/>
    <w:rsid w:val="45252301"/>
    <w:rsid w:val="45A73E05"/>
    <w:rsid w:val="45D81FA6"/>
    <w:rsid w:val="45EB5315"/>
    <w:rsid w:val="465E7A7F"/>
    <w:rsid w:val="465F5501"/>
    <w:rsid w:val="46AC5600"/>
    <w:rsid w:val="46ED18ED"/>
    <w:rsid w:val="47347547"/>
    <w:rsid w:val="479358FE"/>
    <w:rsid w:val="47CD0F5B"/>
    <w:rsid w:val="47F34AFD"/>
    <w:rsid w:val="47FA2D23"/>
    <w:rsid w:val="47FB4028"/>
    <w:rsid w:val="480C42C3"/>
    <w:rsid w:val="486508D7"/>
    <w:rsid w:val="48827784"/>
    <w:rsid w:val="4892419C"/>
    <w:rsid w:val="48AB2B47"/>
    <w:rsid w:val="48D01B15"/>
    <w:rsid w:val="48DA7E13"/>
    <w:rsid w:val="48F6304F"/>
    <w:rsid w:val="49237264"/>
    <w:rsid w:val="494729C5"/>
    <w:rsid w:val="49652E8A"/>
    <w:rsid w:val="49C5004B"/>
    <w:rsid w:val="49CC64A2"/>
    <w:rsid w:val="4A2139AD"/>
    <w:rsid w:val="4A467477"/>
    <w:rsid w:val="4A653DAC"/>
    <w:rsid w:val="4A7A262F"/>
    <w:rsid w:val="4A8C305D"/>
    <w:rsid w:val="4AB3549B"/>
    <w:rsid w:val="4ABF25B2"/>
    <w:rsid w:val="4ADD62DF"/>
    <w:rsid w:val="4AEA33F6"/>
    <w:rsid w:val="4AFA3691"/>
    <w:rsid w:val="4B3969F9"/>
    <w:rsid w:val="4B6607C1"/>
    <w:rsid w:val="4B775281"/>
    <w:rsid w:val="4BD56877"/>
    <w:rsid w:val="4C01704C"/>
    <w:rsid w:val="4C1B5BC3"/>
    <w:rsid w:val="4C3E2A23"/>
    <w:rsid w:val="4C4D523C"/>
    <w:rsid w:val="4C5A4552"/>
    <w:rsid w:val="4CB14F60"/>
    <w:rsid w:val="4CEC75AB"/>
    <w:rsid w:val="4D9877DD"/>
    <w:rsid w:val="4DB5547A"/>
    <w:rsid w:val="4DE3517A"/>
    <w:rsid w:val="4DF85277"/>
    <w:rsid w:val="4E256039"/>
    <w:rsid w:val="4E383AE3"/>
    <w:rsid w:val="4E7939C1"/>
    <w:rsid w:val="4E9E6D0A"/>
    <w:rsid w:val="4EC51148"/>
    <w:rsid w:val="4ED60114"/>
    <w:rsid w:val="4EF02C2A"/>
    <w:rsid w:val="4F311AFC"/>
    <w:rsid w:val="4F522F51"/>
    <w:rsid w:val="4F586138"/>
    <w:rsid w:val="4FC77A71"/>
    <w:rsid w:val="4FEB0F2B"/>
    <w:rsid w:val="4FF62B3F"/>
    <w:rsid w:val="502B6199"/>
    <w:rsid w:val="5059155E"/>
    <w:rsid w:val="50B72BFD"/>
    <w:rsid w:val="51160A18"/>
    <w:rsid w:val="513F0557"/>
    <w:rsid w:val="51727AAD"/>
    <w:rsid w:val="518E3B5A"/>
    <w:rsid w:val="51B22A66"/>
    <w:rsid w:val="51D82CD4"/>
    <w:rsid w:val="52176C0D"/>
    <w:rsid w:val="526067FC"/>
    <w:rsid w:val="52655DBB"/>
    <w:rsid w:val="527A02DF"/>
    <w:rsid w:val="52F23421"/>
    <w:rsid w:val="53155374"/>
    <w:rsid w:val="53213F70"/>
    <w:rsid w:val="53516CBE"/>
    <w:rsid w:val="53990737"/>
    <w:rsid w:val="539F19E6"/>
    <w:rsid w:val="53BA2E6A"/>
    <w:rsid w:val="53E83D39"/>
    <w:rsid w:val="53EF7E41"/>
    <w:rsid w:val="53FB16D5"/>
    <w:rsid w:val="544C745A"/>
    <w:rsid w:val="54540E6A"/>
    <w:rsid w:val="547A7A25"/>
    <w:rsid w:val="54F70673"/>
    <w:rsid w:val="5505597D"/>
    <w:rsid w:val="555F6D9E"/>
    <w:rsid w:val="55757AA6"/>
    <w:rsid w:val="558E406A"/>
    <w:rsid w:val="56024028"/>
    <w:rsid w:val="56563AB2"/>
    <w:rsid w:val="568775D5"/>
    <w:rsid w:val="56933917"/>
    <w:rsid w:val="57044ED0"/>
    <w:rsid w:val="57096DD9"/>
    <w:rsid w:val="57276389"/>
    <w:rsid w:val="574F1ACC"/>
    <w:rsid w:val="57A027D0"/>
    <w:rsid w:val="57B245FD"/>
    <w:rsid w:val="581E561D"/>
    <w:rsid w:val="582662AC"/>
    <w:rsid w:val="58397D2F"/>
    <w:rsid w:val="583C7693"/>
    <w:rsid w:val="585F1909"/>
    <w:rsid w:val="58982D68"/>
    <w:rsid w:val="58BD1CA3"/>
    <w:rsid w:val="58D7284D"/>
    <w:rsid w:val="58FC2A8C"/>
    <w:rsid w:val="592875B7"/>
    <w:rsid w:val="592C2D09"/>
    <w:rsid w:val="5967213C"/>
    <w:rsid w:val="598976A2"/>
    <w:rsid w:val="59D062E8"/>
    <w:rsid w:val="5A615BD7"/>
    <w:rsid w:val="5A835D8B"/>
    <w:rsid w:val="5ABA733C"/>
    <w:rsid w:val="5ABB1768"/>
    <w:rsid w:val="5B665F9C"/>
    <w:rsid w:val="5BDE4A07"/>
    <w:rsid w:val="5BFE3079"/>
    <w:rsid w:val="5C1075E8"/>
    <w:rsid w:val="5C164A3F"/>
    <w:rsid w:val="5C281CBF"/>
    <w:rsid w:val="5C387AB0"/>
    <w:rsid w:val="5C3A2094"/>
    <w:rsid w:val="5C91321A"/>
    <w:rsid w:val="5CAD579C"/>
    <w:rsid w:val="5CBC4731"/>
    <w:rsid w:val="5CBD21B3"/>
    <w:rsid w:val="5CCC1E46"/>
    <w:rsid w:val="5CE0366C"/>
    <w:rsid w:val="5CED0783"/>
    <w:rsid w:val="5D8750FF"/>
    <w:rsid w:val="5DCD7DF2"/>
    <w:rsid w:val="5DD50C3D"/>
    <w:rsid w:val="5DE213B9"/>
    <w:rsid w:val="5DF47840"/>
    <w:rsid w:val="5DFD2B3F"/>
    <w:rsid w:val="5E1A7052"/>
    <w:rsid w:val="5E922FD2"/>
    <w:rsid w:val="5ED55656"/>
    <w:rsid w:val="5FBA1B9B"/>
    <w:rsid w:val="5FD50BDC"/>
    <w:rsid w:val="603A596D"/>
    <w:rsid w:val="60596221"/>
    <w:rsid w:val="60710C0A"/>
    <w:rsid w:val="60B7403D"/>
    <w:rsid w:val="60F32B9D"/>
    <w:rsid w:val="612401DE"/>
    <w:rsid w:val="615A3846"/>
    <w:rsid w:val="615F7CCE"/>
    <w:rsid w:val="61696673"/>
    <w:rsid w:val="617940FB"/>
    <w:rsid w:val="61920923"/>
    <w:rsid w:val="619E0AB7"/>
    <w:rsid w:val="61A12A7B"/>
    <w:rsid w:val="623D18BA"/>
    <w:rsid w:val="625B46ED"/>
    <w:rsid w:val="62B83782"/>
    <w:rsid w:val="631D47AB"/>
    <w:rsid w:val="63860958"/>
    <w:rsid w:val="638F59E4"/>
    <w:rsid w:val="639C0596"/>
    <w:rsid w:val="63A532DC"/>
    <w:rsid w:val="63B8071B"/>
    <w:rsid w:val="63E85179"/>
    <w:rsid w:val="643024C1"/>
    <w:rsid w:val="6445580E"/>
    <w:rsid w:val="646C2758"/>
    <w:rsid w:val="64716F95"/>
    <w:rsid w:val="64802D6E"/>
    <w:rsid w:val="648A0099"/>
    <w:rsid w:val="64B0133E"/>
    <w:rsid w:val="64C3035F"/>
    <w:rsid w:val="64C94467"/>
    <w:rsid w:val="64D7002E"/>
    <w:rsid w:val="64E53D97"/>
    <w:rsid w:val="652A557F"/>
    <w:rsid w:val="654C0D4A"/>
    <w:rsid w:val="65C576B9"/>
    <w:rsid w:val="65E36238"/>
    <w:rsid w:val="65F519D6"/>
    <w:rsid w:val="66095624"/>
    <w:rsid w:val="66555272"/>
    <w:rsid w:val="66595E77"/>
    <w:rsid w:val="667B683E"/>
    <w:rsid w:val="668D780A"/>
    <w:rsid w:val="669E4D06"/>
    <w:rsid w:val="66B21D89"/>
    <w:rsid w:val="66D470B2"/>
    <w:rsid w:val="66F66782"/>
    <w:rsid w:val="670B1D68"/>
    <w:rsid w:val="674C1F87"/>
    <w:rsid w:val="674D7A09"/>
    <w:rsid w:val="67523E91"/>
    <w:rsid w:val="676C4A3A"/>
    <w:rsid w:val="68BB7BDF"/>
    <w:rsid w:val="68BD6966"/>
    <w:rsid w:val="697D7C9D"/>
    <w:rsid w:val="69960847"/>
    <w:rsid w:val="69BA5584"/>
    <w:rsid w:val="69C0748D"/>
    <w:rsid w:val="69C45E93"/>
    <w:rsid w:val="6A7E0B45"/>
    <w:rsid w:val="6AA71D09"/>
    <w:rsid w:val="6B1732C2"/>
    <w:rsid w:val="6B3837F7"/>
    <w:rsid w:val="6B4A7668"/>
    <w:rsid w:val="6BCE4FEF"/>
    <w:rsid w:val="6C141EE0"/>
    <w:rsid w:val="6C187D43"/>
    <w:rsid w:val="6C4E0DC0"/>
    <w:rsid w:val="6C652DB8"/>
    <w:rsid w:val="6CAF20DF"/>
    <w:rsid w:val="6CC07DFA"/>
    <w:rsid w:val="6CF87C2A"/>
    <w:rsid w:val="6D2C04A5"/>
    <w:rsid w:val="6D4A0A51"/>
    <w:rsid w:val="6D65638A"/>
    <w:rsid w:val="6D7B4CAA"/>
    <w:rsid w:val="6D8D155E"/>
    <w:rsid w:val="6D9745DB"/>
    <w:rsid w:val="6DDE6F4D"/>
    <w:rsid w:val="6DE925CC"/>
    <w:rsid w:val="6EB432E2"/>
    <w:rsid w:val="6EB478DA"/>
    <w:rsid w:val="6EB64A32"/>
    <w:rsid w:val="6EEC6834"/>
    <w:rsid w:val="6F080FB9"/>
    <w:rsid w:val="6F1F0BDE"/>
    <w:rsid w:val="6F861887"/>
    <w:rsid w:val="6FAA2A40"/>
    <w:rsid w:val="6FC921A5"/>
    <w:rsid w:val="6FD922F4"/>
    <w:rsid w:val="6FE01046"/>
    <w:rsid w:val="700A492A"/>
    <w:rsid w:val="7025268A"/>
    <w:rsid w:val="7040660E"/>
    <w:rsid w:val="705047D3"/>
    <w:rsid w:val="70B7547C"/>
    <w:rsid w:val="70CE694A"/>
    <w:rsid w:val="710E5E8B"/>
    <w:rsid w:val="71132313"/>
    <w:rsid w:val="71403F07"/>
    <w:rsid w:val="71CD6C87"/>
    <w:rsid w:val="71D67E52"/>
    <w:rsid w:val="71DF0762"/>
    <w:rsid w:val="71E44BEA"/>
    <w:rsid w:val="723B3782"/>
    <w:rsid w:val="72434C03"/>
    <w:rsid w:val="72485159"/>
    <w:rsid w:val="72565E22"/>
    <w:rsid w:val="7278765C"/>
    <w:rsid w:val="727C3ACD"/>
    <w:rsid w:val="72920205"/>
    <w:rsid w:val="729B2130"/>
    <w:rsid w:val="72AA112F"/>
    <w:rsid w:val="72CA035F"/>
    <w:rsid w:val="72CF7CED"/>
    <w:rsid w:val="72D013EB"/>
    <w:rsid w:val="72DF0305"/>
    <w:rsid w:val="73A00E5C"/>
    <w:rsid w:val="73B6686F"/>
    <w:rsid w:val="7438763D"/>
    <w:rsid w:val="744C2A5A"/>
    <w:rsid w:val="74940C50"/>
    <w:rsid w:val="74DE7DCA"/>
    <w:rsid w:val="74E651D7"/>
    <w:rsid w:val="75113A9C"/>
    <w:rsid w:val="751524A3"/>
    <w:rsid w:val="75502C26"/>
    <w:rsid w:val="756920F3"/>
    <w:rsid w:val="75BB65A0"/>
    <w:rsid w:val="76170DCC"/>
    <w:rsid w:val="76950A02"/>
    <w:rsid w:val="76AB49DF"/>
    <w:rsid w:val="76AB70C1"/>
    <w:rsid w:val="76FE5846"/>
    <w:rsid w:val="77193E72"/>
    <w:rsid w:val="773B6084"/>
    <w:rsid w:val="77E369E1"/>
    <w:rsid w:val="77EB5019"/>
    <w:rsid w:val="7801298E"/>
    <w:rsid w:val="78A60180"/>
    <w:rsid w:val="78A75C02"/>
    <w:rsid w:val="78CC3CF7"/>
    <w:rsid w:val="790E49BA"/>
    <w:rsid w:val="7A294A79"/>
    <w:rsid w:val="7A307C87"/>
    <w:rsid w:val="7A6300D6"/>
    <w:rsid w:val="7A8D259F"/>
    <w:rsid w:val="7AAB3D4E"/>
    <w:rsid w:val="7B1706C7"/>
    <w:rsid w:val="7B21178E"/>
    <w:rsid w:val="7B234C91"/>
    <w:rsid w:val="7B6A1314"/>
    <w:rsid w:val="7BC36D99"/>
    <w:rsid w:val="7BEE69DD"/>
    <w:rsid w:val="7C5232BC"/>
    <w:rsid w:val="7C5A278F"/>
    <w:rsid w:val="7CC174A3"/>
    <w:rsid w:val="7D2569E0"/>
    <w:rsid w:val="7D2C10CF"/>
    <w:rsid w:val="7D443A12"/>
    <w:rsid w:val="7D451493"/>
    <w:rsid w:val="7D5207A9"/>
    <w:rsid w:val="7D590134"/>
    <w:rsid w:val="7D7035DC"/>
    <w:rsid w:val="7D757A64"/>
    <w:rsid w:val="7DCB07FC"/>
    <w:rsid w:val="7DED09A7"/>
    <w:rsid w:val="7DF42531"/>
    <w:rsid w:val="7E0A24D6"/>
    <w:rsid w:val="7E385937"/>
    <w:rsid w:val="7E5F0543"/>
    <w:rsid w:val="7F0F40ED"/>
    <w:rsid w:val="7F815661"/>
    <w:rsid w:val="7FA966F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qFormat="1" w:uiPriority="99" w:semiHidden="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黑体"/>
      <w:kern w:val="2"/>
      <w:sz w:val="21"/>
      <w:szCs w:val="22"/>
      <w:lang w:val="en-US" w:eastAsia="zh-CN" w:bidi="ar-SA"/>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bidi="ar-SA"/>
    </w:rPr>
  </w:style>
  <w:style w:type="paragraph" w:styleId="4">
    <w:name w:val="index 4"/>
    <w:basedOn w:val="1"/>
    <w:next w:val="1"/>
    <w:unhideWhenUsed/>
    <w:qFormat/>
    <w:uiPriority w:val="99"/>
    <w:pPr>
      <w:ind w:left="600" w:leftChars="600"/>
    </w:pPr>
  </w:style>
  <w:style w:type="paragraph" w:styleId="5">
    <w:name w:val="Balloon Text"/>
    <w:basedOn w:val="1"/>
    <w:link w:val="18"/>
    <w:unhideWhenUsed/>
    <w:qFormat/>
    <w:uiPriority w:val="99"/>
    <w:rPr>
      <w:sz w:val="18"/>
      <w:szCs w:val="18"/>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11">
    <w:name w:val="Strong"/>
    <w:basedOn w:val="10"/>
    <w:qFormat/>
    <w:uiPriority w:val="22"/>
    <w:rPr>
      <w:b/>
    </w:rPr>
  </w:style>
  <w:style w:type="paragraph" w:customStyle="1" w:styleId="12">
    <w:name w:val="列出段落1"/>
    <w:basedOn w:val="1"/>
    <w:qFormat/>
    <w:uiPriority w:val="34"/>
    <w:pPr>
      <w:ind w:firstLine="420" w:firstLineChars="200"/>
    </w:pPr>
  </w:style>
  <w:style w:type="paragraph" w:customStyle="1" w:styleId="13">
    <w:name w:val="p12"/>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4">
    <w:name w:val="页眉 Char"/>
    <w:basedOn w:val="10"/>
    <w:link w:val="7"/>
    <w:semiHidden/>
    <w:qFormat/>
    <w:uiPriority w:val="99"/>
    <w:rPr>
      <w:sz w:val="18"/>
      <w:szCs w:val="18"/>
    </w:rPr>
  </w:style>
  <w:style w:type="character" w:customStyle="1" w:styleId="15">
    <w:name w:val="页脚 Char"/>
    <w:basedOn w:val="10"/>
    <w:link w:val="6"/>
    <w:qFormat/>
    <w:uiPriority w:val="99"/>
    <w:rPr>
      <w:sz w:val="18"/>
      <w:szCs w:val="18"/>
    </w:rPr>
  </w:style>
  <w:style w:type="character" w:customStyle="1" w:styleId="16">
    <w:name w:val="s1"/>
    <w:basedOn w:val="10"/>
    <w:qFormat/>
    <w:uiPriority w:val="0"/>
  </w:style>
  <w:style w:type="character" w:customStyle="1" w:styleId="17">
    <w:name w:val="占位符文本1"/>
    <w:basedOn w:val="10"/>
    <w:semiHidden/>
    <w:qFormat/>
    <w:uiPriority w:val="99"/>
    <w:rPr>
      <w:color w:val="808080"/>
    </w:rPr>
  </w:style>
  <w:style w:type="character" w:customStyle="1" w:styleId="18">
    <w:name w:val="批注框文本 Char"/>
    <w:basedOn w:val="10"/>
    <w:link w:val="5"/>
    <w:semiHidden/>
    <w:qFormat/>
    <w:uiPriority w:val="99"/>
    <w:rPr>
      <w:sz w:val="18"/>
      <w:szCs w:val="18"/>
    </w:rPr>
  </w:style>
  <w:style w:type="paragraph" w:customStyle="1" w:styleId="19">
    <w:name w:val="_Style 2"/>
    <w:basedOn w:val="1"/>
    <w:qFormat/>
    <w:uiPriority w:val="0"/>
    <w:pPr>
      <w:spacing w:line="549" w:lineRule="atLeast"/>
      <w:ind w:firstLine="623"/>
      <w:textAlignment w:val="baseline"/>
    </w:pPr>
    <w:rPr>
      <w:rFonts w:eastAsia="仿宋_GB2312" w:cs="Calibri"/>
      <w:color w:val="000000"/>
      <w:sz w:val="3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11</Pages>
  <Words>840</Words>
  <Characters>4791</Characters>
  <Lines>39</Lines>
  <Paragraphs>11</Paragraphs>
  <TotalTime>54</TotalTime>
  <ScaleCrop>false</ScaleCrop>
  <LinksUpToDate>false</LinksUpToDate>
  <CharactersWithSpaces>5620</CharactersWithSpaces>
  <Application>WPS Office_11.8.2.12094_F1E327BC-269C-435d-A152-05C5408002CA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2023-09-11T07:36:00Z</dcterms:created>
  <dc:creator>管洪涛</dc:creator>
  <cp:lastModifiedBy>tancy</cp:lastModifiedBy>
  <cp:lastPrinted>2025-09-17T02:12:00Z</cp:lastPrinted>
  <dcterms:modified xsi:type="dcterms:W3CDTF">2026-10-09T03:39:58Z</dcterms:modified>
  <dc:title>南京市公安局（机关）整体绩效评价报告</dc:title>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2052-11.8.2.12094</vt:lpwstr>
  </property>
  <property fmtid="{D5CDD505-2E9C-101B-9397-08002B2CF9AE}" pid="3" name="ICV">
    <vt:lpwstr>011BA2B9A0F548129C705F4246A4F066</vt:lpwstr>
  </property>
</Properties>
</file>