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widowControl/>
        <w:spacing w:line="0" w:lineRule="atLeast"/>
        <w:jc w:val="center"/>
        <w:rPr>
          <w:rFonts w:ascii="方正小标宋_GBK" w:hAnsi="FZXBSK--GBK1-0" w:eastAsia="方正小标宋_GBK" w:cs="宋体"/>
          <w:kern w:val="0"/>
          <w:sz w:val="44"/>
          <w:szCs w:val="44"/>
        </w:rPr>
      </w:pPr>
      <w:r>
        <w:rPr>
          <w:rFonts w:hint="eastAsia" w:ascii="方正小标宋_GBK" w:hAnsi="FZXBSK--GBK1-0" w:eastAsia="方正小标宋_GBK" w:cs="宋体"/>
          <w:kern w:val="0"/>
          <w:sz w:val="44"/>
          <w:szCs w:val="44"/>
        </w:rPr>
        <w:t>2025年度南京市公安局（机关）</w:t>
      </w:r>
    </w:p>
    <w:p>
      <w:pPr>
        <w:widowControl/>
        <w:spacing w:line="0" w:lineRule="atLeast"/>
        <w:jc w:val="center"/>
        <w:rPr>
          <w:rFonts w:ascii="方正小标宋_GBK" w:hAnsi="FZXBSK--GBK1-0" w:eastAsia="方正小标宋_GBK" w:cs="宋体"/>
          <w:kern w:val="0"/>
          <w:sz w:val="44"/>
          <w:szCs w:val="44"/>
        </w:rPr>
      </w:pPr>
      <w:r>
        <w:rPr>
          <w:rFonts w:hint="eastAsia" w:ascii="方正小标宋_GBK" w:hAnsi="FZXBSK--GBK1-0" w:eastAsia="方正小标宋_GBK" w:cs="宋体"/>
          <w:kern w:val="0"/>
          <w:sz w:val="44"/>
          <w:szCs w:val="44"/>
        </w:rPr>
        <w:t>部门整体绩效评价报告</w:t>
      </w:r>
    </w:p>
    <w:p>
      <w:pPr>
        <w:widowControl/>
        <w:spacing w:line="600" w:lineRule="exact"/>
        <w:ind w:firstLine="643" w:firstLineChars="200"/>
        <w:jc w:val="center"/>
        <w:rPr>
          <w:rFonts w:ascii="FZKTK--GBK1-0" w:hAnsi="FZKTK--GBK1-0" w:cs="宋体"/>
          <w:b/>
          <w:bCs/>
          <w:kern w:val="0"/>
          <w:sz w:val="32"/>
          <w:szCs w:val="32"/>
        </w:rPr>
      </w:pPr>
    </w:p>
    <w:p>
      <w:pPr>
        <w:widowControl/>
        <w:spacing w:line="560" w:lineRule="exact"/>
        <w:ind w:firstLine="640" w:firstLineChars="200"/>
        <w:rPr>
          <w:rFonts w:ascii="方正黑体_GBK" w:hAnsi="黑体" w:eastAsia="方正黑体_GBK" w:cs="宋体"/>
          <w:kern w:val="0"/>
          <w:sz w:val="32"/>
          <w:szCs w:val="32"/>
        </w:rPr>
      </w:pPr>
      <w:r>
        <w:rPr>
          <w:rFonts w:hint="eastAsia" w:ascii="方正黑体_GBK" w:hAnsi="黑体" w:eastAsia="方正黑体_GBK" w:cs="宋体"/>
          <w:kern w:val="0"/>
          <w:sz w:val="32"/>
          <w:szCs w:val="32"/>
        </w:rPr>
        <w:t>一、部门</w:t>
      </w:r>
      <w:r>
        <w:rPr>
          <w:rFonts w:hint="eastAsia" w:ascii="方正黑体_GBK" w:hAnsi="宋体" w:eastAsia="方正黑体_GBK"/>
          <w:sz w:val="32"/>
          <w:szCs w:val="32"/>
        </w:rPr>
        <w:t>概况</w:t>
      </w:r>
    </w:p>
    <w:p>
      <w:pPr>
        <w:spacing w:line="560" w:lineRule="exact"/>
        <w:ind w:firstLine="640" w:firstLineChars="200"/>
        <w:rPr>
          <w:rFonts w:ascii="方正仿宋_GBK" w:hAnsi="宋体" w:eastAsia="方正仿宋_GBK"/>
          <w:sz w:val="32"/>
          <w:szCs w:val="32"/>
        </w:rPr>
      </w:pPr>
      <w:r>
        <w:rPr>
          <w:rFonts w:hint="eastAsia" w:ascii="方正仿宋_GBK" w:hAnsi="宋体" w:eastAsia="方正仿宋_GBK" w:cs="宋体"/>
          <w:kern w:val="0"/>
          <w:sz w:val="32"/>
          <w:szCs w:val="32"/>
        </w:rPr>
        <w:t>（一）部门基本</w:t>
      </w:r>
      <w:r>
        <w:rPr>
          <w:rFonts w:hint="eastAsia" w:ascii="方正仿宋_GBK" w:hAnsi="宋体" w:eastAsia="方正仿宋_GBK"/>
          <w:sz w:val="32"/>
          <w:szCs w:val="32"/>
        </w:rPr>
        <w:t>情况</w:t>
      </w:r>
    </w:p>
    <w:p>
      <w:pPr>
        <w:autoSpaceDE w:val="0"/>
        <w:autoSpaceDN w:val="0"/>
        <w:snapToGrid w:val="0"/>
        <w:spacing w:line="560" w:lineRule="exact"/>
        <w:ind w:firstLine="640" w:firstLineChars="200"/>
        <w:rPr>
          <w:rFonts w:ascii="方正楷体_GBK" w:eastAsia="方正楷体_GBK"/>
          <w:sz w:val="32"/>
          <w:szCs w:val="32"/>
        </w:rPr>
      </w:pPr>
      <w:r>
        <w:rPr>
          <w:rFonts w:hint="eastAsia" w:ascii="方正楷体_GBK" w:eastAsia="方正楷体_GBK"/>
          <w:sz w:val="32"/>
          <w:szCs w:val="32"/>
        </w:rPr>
        <w:t>1、部门主要职能</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ascii="方正仿宋_GBK" w:eastAsia="方正仿宋_GBK"/>
          <w:sz w:val="32"/>
          <w:szCs w:val="32"/>
        </w:rPr>
        <w:t>1</w:t>
      </w:r>
      <w:r>
        <w:rPr>
          <w:rFonts w:hint="eastAsia" w:ascii="方正仿宋_GBK" w:eastAsia="方正仿宋_GBK"/>
          <w:sz w:val="32"/>
          <w:szCs w:val="32"/>
        </w:rPr>
        <w:t>）</w:t>
      </w:r>
      <w:r>
        <w:rPr>
          <w:rFonts w:ascii="方正仿宋_GBK" w:eastAsia="方正仿宋_GBK"/>
          <w:sz w:val="32"/>
          <w:szCs w:val="32"/>
        </w:rPr>
        <w:t>贯彻执行党和国家有关公安工作的方针、政策和法律、法规；起草有关公安工作的地方性法规、规章草案，并组织实施。统一领导，指挥全市公安工作。</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ascii="方正仿宋_GBK" w:eastAsia="方正仿宋_GBK"/>
          <w:sz w:val="32"/>
          <w:szCs w:val="32"/>
        </w:rPr>
        <w:t>2</w:t>
      </w:r>
      <w:r>
        <w:rPr>
          <w:rFonts w:hint="eastAsia" w:ascii="方正仿宋_GBK" w:eastAsia="方正仿宋_GBK"/>
          <w:sz w:val="32"/>
          <w:szCs w:val="32"/>
        </w:rPr>
        <w:t>）</w:t>
      </w:r>
      <w:r>
        <w:rPr>
          <w:rFonts w:ascii="方正仿宋_GBK" w:eastAsia="方正仿宋_GBK"/>
          <w:sz w:val="32"/>
          <w:szCs w:val="32"/>
        </w:rPr>
        <w:t>掌握影响稳定、危害国内安全和社会治安的情况，向市委、市政府和省公安厅及时提供相关重要信息，分析、研究对策并组织实施。</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ascii="方正仿宋_GBK" w:eastAsia="方正仿宋_GBK"/>
          <w:sz w:val="32"/>
          <w:szCs w:val="32"/>
        </w:rPr>
        <w:t>3</w:t>
      </w:r>
      <w:r>
        <w:rPr>
          <w:rFonts w:hint="eastAsia" w:ascii="方正仿宋_GBK" w:eastAsia="方正仿宋_GBK"/>
          <w:sz w:val="32"/>
          <w:szCs w:val="32"/>
        </w:rPr>
        <w:t>）</w:t>
      </w:r>
      <w:r>
        <w:rPr>
          <w:rFonts w:ascii="方正仿宋_GBK" w:eastAsia="方正仿宋_GBK"/>
          <w:sz w:val="32"/>
          <w:szCs w:val="32"/>
        </w:rPr>
        <w:t>负责公安民警和警务辅助人员队伍的管理、教育和训练工作。</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ascii="方正仿宋_GBK" w:eastAsia="方正仿宋_GBK"/>
          <w:sz w:val="32"/>
          <w:szCs w:val="32"/>
        </w:rPr>
        <w:t>4</w:t>
      </w:r>
      <w:r>
        <w:rPr>
          <w:rFonts w:hint="eastAsia" w:ascii="方正仿宋_GBK" w:eastAsia="方正仿宋_GBK"/>
          <w:sz w:val="32"/>
          <w:szCs w:val="32"/>
        </w:rPr>
        <w:t>）</w:t>
      </w:r>
      <w:r>
        <w:rPr>
          <w:rFonts w:ascii="方正仿宋_GBK" w:eastAsia="方正仿宋_GBK"/>
          <w:sz w:val="32"/>
          <w:szCs w:val="32"/>
        </w:rPr>
        <w:t>受理公民报警求助；依法预防、制止和侦查违法犯罪活动；处置重大案件、治安事故和骚乱，预防、打击恐怖活动。</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ascii="方正仿宋_GBK" w:eastAsia="方正仿宋_GBK"/>
          <w:sz w:val="32"/>
          <w:szCs w:val="32"/>
        </w:rPr>
        <w:t>5</w:t>
      </w:r>
      <w:r>
        <w:rPr>
          <w:rFonts w:hint="eastAsia" w:ascii="方正仿宋_GBK" w:eastAsia="方正仿宋_GBK"/>
          <w:sz w:val="32"/>
          <w:szCs w:val="32"/>
        </w:rPr>
        <w:t>）</w:t>
      </w:r>
      <w:r>
        <w:rPr>
          <w:rFonts w:ascii="方正仿宋_GBK" w:eastAsia="方正仿宋_GBK"/>
          <w:sz w:val="32"/>
          <w:szCs w:val="32"/>
        </w:rPr>
        <w:t>依法查处危害社会治安秩序行为；积极预防、妥善处置突发性事件、群体性事件，维护社会稳定；依法管理集会、游行、示威活动；依法管理户籍、居民身份证、枪支弹药、危险物品和特种行业等工作。</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ascii="方正仿宋_GBK" w:eastAsia="方正仿宋_GBK"/>
          <w:sz w:val="32"/>
          <w:szCs w:val="32"/>
        </w:rPr>
        <w:t>6</w:t>
      </w:r>
      <w:r>
        <w:rPr>
          <w:rFonts w:hint="eastAsia" w:ascii="方正仿宋_GBK" w:eastAsia="方正仿宋_GBK"/>
          <w:sz w:val="32"/>
          <w:szCs w:val="32"/>
        </w:rPr>
        <w:t>）</w:t>
      </w:r>
      <w:r>
        <w:rPr>
          <w:rFonts w:ascii="方正仿宋_GBK" w:eastAsia="方正仿宋_GBK"/>
          <w:sz w:val="32"/>
          <w:szCs w:val="32"/>
        </w:rPr>
        <w:t>负责由公安机关依法承担的执行刑罚工作；依法承办全市强制戒毒审查批准工作；负责市看守所、拘留所、强制戒毒所的建设和管理；依法办理行政复议、国家赔偿和行政应诉案件。</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ascii="方正仿宋_GBK" w:eastAsia="方正仿宋_GBK"/>
          <w:sz w:val="32"/>
          <w:szCs w:val="32"/>
        </w:rPr>
        <w:t>7</w:t>
      </w:r>
      <w:r>
        <w:rPr>
          <w:rFonts w:hint="eastAsia" w:ascii="方正仿宋_GBK" w:eastAsia="方正仿宋_GBK"/>
          <w:sz w:val="32"/>
          <w:szCs w:val="32"/>
        </w:rPr>
        <w:t>）</w:t>
      </w:r>
      <w:r>
        <w:rPr>
          <w:rFonts w:ascii="方正仿宋_GBK" w:eastAsia="方正仿宋_GBK"/>
          <w:sz w:val="32"/>
          <w:szCs w:val="32"/>
        </w:rPr>
        <w:t>负责全市道路交通安全管理、维护交通秩序，承担车辆、驾驶员交通安全管理工作。</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ascii="方正仿宋_GBK" w:eastAsia="方正仿宋_GBK"/>
          <w:sz w:val="32"/>
          <w:szCs w:val="32"/>
        </w:rPr>
        <w:t>8</w:t>
      </w:r>
      <w:r>
        <w:rPr>
          <w:rFonts w:hint="eastAsia" w:ascii="方正仿宋_GBK" w:eastAsia="方正仿宋_GBK"/>
          <w:sz w:val="32"/>
          <w:szCs w:val="32"/>
        </w:rPr>
        <w:t>）</w:t>
      </w:r>
      <w:r>
        <w:rPr>
          <w:rFonts w:ascii="方正仿宋_GBK" w:eastAsia="方正仿宋_GBK"/>
          <w:sz w:val="32"/>
          <w:szCs w:val="32"/>
        </w:rPr>
        <w:t>依法管理国籍、出入境事务和外国人在我市居留、旅行有关事务。</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ascii="方正仿宋_GBK" w:eastAsia="方正仿宋_GBK"/>
          <w:sz w:val="32"/>
          <w:szCs w:val="32"/>
        </w:rPr>
        <w:t>9</w:t>
      </w:r>
      <w:r>
        <w:rPr>
          <w:rFonts w:hint="eastAsia" w:ascii="方正仿宋_GBK" w:eastAsia="方正仿宋_GBK"/>
          <w:sz w:val="32"/>
          <w:szCs w:val="32"/>
        </w:rPr>
        <w:t>）</w:t>
      </w:r>
      <w:r>
        <w:rPr>
          <w:rFonts w:ascii="方正仿宋_GBK" w:eastAsia="方正仿宋_GBK"/>
          <w:sz w:val="32"/>
          <w:szCs w:val="32"/>
        </w:rPr>
        <w:t>负责全市公共信息网络安全监察工作。</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ascii="方正仿宋_GBK" w:eastAsia="方正仿宋_GBK"/>
          <w:sz w:val="32"/>
          <w:szCs w:val="32"/>
        </w:rPr>
        <w:t>10</w:t>
      </w:r>
      <w:r>
        <w:rPr>
          <w:rFonts w:hint="eastAsia" w:ascii="方正仿宋_GBK" w:eastAsia="方正仿宋_GBK"/>
          <w:sz w:val="32"/>
          <w:szCs w:val="32"/>
        </w:rPr>
        <w:t>）</w:t>
      </w:r>
      <w:r>
        <w:rPr>
          <w:rFonts w:ascii="方正仿宋_GBK" w:eastAsia="方正仿宋_GBK"/>
          <w:sz w:val="32"/>
          <w:szCs w:val="32"/>
        </w:rPr>
        <w:t>负责来宁党和国家领导人、重要外宾的安全警卫工作及其他重要警卫任务的组织协调。</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ascii="方正仿宋_GBK" w:eastAsia="方正仿宋_GBK"/>
          <w:sz w:val="32"/>
          <w:szCs w:val="32"/>
        </w:rPr>
        <w:t>11</w:t>
      </w:r>
      <w:r>
        <w:rPr>
          <w:rFonts w:hint="eastAsia" w:ascii="方正仿宋_GBK" w:eastAsia="方正仿宋_GBK"/>
          <w:sz w:val="32"/>
          <w:szCs w:val="32"/>
        </w:rPr>
        <w:t>）</w:t>
      </w:r>
      <w:r>
        <w:rPr>
          <w:rFonts w:ascii="方正仿宋_GBK" w:eastAsia="方正仿宋_GBK"/>
          <w:sz w:val="32"/>
          <w:szCs w:val="32"/>
        </w:rPr>
        <w:t>组织实施全市公安科学技术工作；制定公安信息技术、刑事技术、行动技术等建设规划并组织实施。</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ascii="方正仿宋_GBK" w:eastAsia="方正仿宋_GBK"/>
          <w:sz w:val="32"/>
          <w:szCs w:val="32"/>
        </w:rPr>
        <w:t>12</w:t>
      </w:r>
      <w:r>
        <w:rPr>
          <w:rFonts w:hint="eastAsia" w:ascii="方正仿宋_GBK" w:eastAsia="方正仿宋_GBK"/>
          <w:sz w:val="32"/>
          <w:szCs w:val="32"/>
        </w:rPr>
        <w:t>）</w:t>
      </w:r>
      <w:r>
        <w:rPr>
          <w:rFonts w:ascii="方正仿宋_GBK" w:eastAsia="方正仿宋_GBK"/>
          <w:sz w:val="32"/>
          <w:szCs w:val="32"/>
        </w:rPr>
        <w:t>指导、监督全市国家机关、社会团体、企事业单位和重点建设工程的治安保卫工作以及群众性治安保卫组织的治安防范工作。</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ascii="方正仿宋_GBK" w:eastAsia="方正仿宋_GBK"/>
          <w:sz w:val="32"/>
          <w:szCs w:val="32"/>
        </w:rPr>
        <w:t>13</w:t>
      </w:r>
      <w:r>
        <w:rPr>
          <w:rFonts w:hint="eastAsia" w:ascii="方正仿宋_GBK" w:eastAsia="方正仿宋_GBK"/>
          <w:sz w:val="32"/>
          <w:szCs w:val="32"/>
        </w:rPr>
        <w:t>）</w:t>
      </w:r>
      <w:r>
        <w:rPr>
          <w:rFonts w:ascii="方正仿宋_GBK" w:eastAsia="方正仿宋_GBK"/>
          <w:sz w:val="32"/>
          <w:szCs w:val="32"/>
        </w:rPr>
        <w:t>组织开展全市公安警务督察工作，指导、检查、监督全市公安机关及人民警察的执法活动。</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ascii="方正仿宋_GBK" w:eastAsia="方正仿宋_GBK"/>
          <w:sz w:val="32"/>
          <w:szCs w:val="32"/>
        </w:rPr>
        <w:t>14</w:t>
      </w:r>
      <w:r>
        <w:rPr>
          <w:rFonts w:hint="eastAsia" w:ascii="方正仿宋_GBK" w:eastAsia="方正仿宋_GBK"/>
          <w:sz w:val="32"/>
          <w:szCs w:val="32"/>
        </w:rPr>
        <w:t>）</w:t>
      </w:r>
      <w:r>
        <w:rPr>
          <w:rFonts w:ascii="方正仿宋_GBK" w:eastAsia="方正仿宋_GBK"/>
          <w:sz w:val="32"/>
          <w:szCs w:val="32"/>
        </w:rPr>
        <w:t>负责全市公安机关装备、被装配备和专项经费管理等警务保障工作。</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ascii="方正仿宋_GBK" w:eastAsia="方正仿宋_GBK"/>
          <w:sz w:val="32"/>
          <w:szCs w:val="32"/>
        </w:rPr>
        <w:t>15</w:t>
      </w:r>
      <w:r>
        <w:rPr>
          <w:rFonts w:hint="eastAsia" w:ascii="方正仿宋_GBK" w:eastAsia="方正仿宋_GBK"/>
          <w:sz w:val="32"/>
          <w:szCs w:val="32"/>
        </w:rPr>
        <w:t>）</w:t>
      </w:r>
      <w:r>
        <w:rPr>
          <w:rFonts w:ascii="方正仿宋_GBK" w:eastAsia="方正仿宋_GBK"/>
          <w:sz w:val="32"/>
          <w:szCs w:val="32"/>
        </w:rPr>
        <w:t>承办市委、市政府和上级公安机关交办的其他事项。</w:t>
      </w:r>
    </w:p>
    <w:p>
      <w:pPr>
        <w:autoSpaceDE w:val="0"/>
        <w:autoSpaceDN w:val="0"/>
        <w:snapToGrid w:val="0"/>
        <w:spacing w:line="560" w:lineRule="exact"/>
        <w:ind w:firstLine="640" w:firstLineChars="200"/>
        <w:rPr>
          <w:rFonts w:ascii="方正楷体_GBK" w:hAnsi="FZHTK--GBK1-0" w:eastAsia="方正楷体_GBK" w:cs="宋体"/>
          <w:kern w:val="0"/>
          <w:sz w:val="32"/>
          <w:szCs w:val="32"/>
        </w:rPr>
      </w:pPr>
      <w:r>
        <w:rPr>
          <w:rFonts w:hint="eastAsia" w:ascii="方正楷体_GBK" w:eastAsia="方正楷体_GBK"/>
          <w:sz w:val="32"/>
          <w:szCs w:val="32"/>
        </w:rPr>
        <w:t>2、</w:t>
      </w:r>
      <w:r>
        <w:rPr>
          <w:rFonts w:hint="eastAsia" w:ascii="方正楷体_GBK" w:hAnsi="FZHTK--GBK1-0" w:eastAsia="方正楷体_GBK" w:cs="宋体"/>
          <w:kern w:val="0"/>
          <w:sz w:val="32"/>
          <w:szCs w:val="32"/>
        </w:rPr>
        <w:t>人员及内设机构等情况</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南京市公安局（机关）实有在职人员1578人（含行政工人），离退休人员705人。另有在册警务辅助人员编制数为889人。</w:t>
      </w:r>
      <w:r>
        <w:rPr>
          <w:rFonts w:hint="eastAsia" w:ascii="方正仿宋_GBK" w:hAnsi="宋体" w:eastAsia="方正仿宋_GBK"/>
          <w:sz w:val="32"/>
          <w:szCs w:val="32"/>
        </w:rPr>
        <w:t>公务用车实有数量为237辆。</w:t>
      </w:r>
      <w:r>
        <w:rPr>
          <w:rFonts w:hint="eastAsia" w:ascii="方正仿宋_GBK" w:eastAsia="方正仿宋_GBK"/>
          <w:sz w:val="32"/>
          <w:szCs w:val="32"/>
        </w:rPr>
        <w:t>内设机构包括政治部、办公室、警务保障部等主要机构。无下属预算单位。</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3、部门资产情况</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截至2025年末，南京市公安局资产总额为421170.42万元，其中流动资产38053.05万元，非流动资产383117.36万元。固定资产原值为425796.86万元，净值为175377.58万元，办公设备按照核定标准配置。</w:t>
      </w:r>
    </w:p>
    <w:p>
      <w:pPr>
        <w:spacing w:line="560" w:lineRule="exact"/>
        <w:ind w:firstLine="640" w:firstLineChars="200"/>
        <w:rPr>
          <w:rFonts w:ascii="方正仿宋_GBK" w:hAnsi="宋体" w:eastAsia="方正仿宋_GBK" w:cs="宋体"/>
          <w:kern w:val="0"/>
          <w:sz w:val="32"/>
          <w:szCs w:val="32"/>
        </w:rPr>
      </w:pPr>
      <w:r>
        <w:rPr>
          <w:rFonts w:hint="eastAsia" w:ascii="方正仿宋_GBK" w:hAnsi="宋体" w:eastAsia="方正仿宋_GBK" w:cs="宋体"/>
          <w:kern w:val="0"/>
          <w:sz w:val="32"/>
          <w:szCs w:val="32"/>
        </w:rPr>
        <w:t>（二）部门资金情况</w:t>
      </w:r>
    </w:p>
    <w:p>
      <w:pPr>
        <w:spacing w:line="56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1、部门收支情况</w:t>
      </w:r>
    </w:p>
    <w:p>
      <w:pPr>
        <w:spacing w:line="56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南京市公安局2025年预算安排211184.43万元，其中：基本支出182384.67万元，项目支出28799.76万元。调整后预算247093.04万元，其中：基本支出199423.83万元，调增17039.16万元主要原因是追加未休假补贴和基础绩效奖以及增人增资费用，项目支出47669.21万元，调增18869.45万元，年中追加政法转移等专项经费。</w:t>
      </w:r>
    </w:p>
    <w:p>
      <w:pPr>
        <w:spacing w:line="56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2025年南京市公安局实际支出243301.67万元，预算执行率98.47%，其中：基本支出195755.92万元，预算执行率98.16%，项目支出47545.76万元，预算执行率99.74%。详情见表1。</w:t>
      </w:r>
    </w:p>
    <w:p>
      <w:pPr>
        <w:spacing w:line="56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表1  2025年市公安局部门预算安排与支出情况</w:t>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支出类别</w:t>
            </w:r>
          </w:p>
        </w:tc>
        <w:tc>
          <w:tcPr>
            <w:tcW w:w="1704"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年初预算数</w:t>
            </w:r>
          </w:p>
        </w:tc>
        <w:tc>
          <w:tcPr>
            <w:tcW w:w="1704"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调整后预算数</w:t>
            </w:r>
          </w:p>
        </w:tc>
        <w:tc>
          <w:tcPr>
            <w:tcW w:w="1705"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实际支出数</w:t>
            </w:r>
          </w:p>
        </w:tc>
        <w:tc>
          <w:tcPr>
            <w:tcW w:w="1705"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预算执行率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基本支出</w:t>
            </w:r>
          </w:p>
        </w:tc>
        <w:tc>
          <w:tcPr>
            <w:tcW w:w="1704"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182384.67</w:t>
            </w:r>
          </w:p>
        </w:tc>
        <w:tc>
          <w:tcPr>
            <w:tcW w:w="1704"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199423.83</w:t>
            </w:r>
          </w:p>
        </w:tc>
        <w:tc>
          <w:tcPr>
            <w:tcW w:w="1705"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195755.92</w:t>
            </w:r>
          </w:p>
        </w:tc>
        <w:tc>
          <w:tcPr>
            <w:tcW w:w="1705"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98.16%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项目支出</w:t>
            </w:r>
          </w:p>
        </w:tc>
        <w:tc>
          <w:tcPr>
            <w:tcW w:w="1704"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28799.76</w:t>
            </w:r>
          </w:p>
        </w:tc>
        <w:tc>
          <w:tcPr>
            <w:tcW w:w="1704"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47669.21</w:t>
            </w:r>
          </w:p>
        </w:tc>
        <w:tc>
          <w:tcPr>
            <w:tcW w:w="1705"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47545.76</w:t>
            </w:r>
          </w:p>
        </w:tc>
        <w:tc>
          <w:tcPr>
            <w:tcW w:w="1705"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99.74%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合计</w:t>
            </w:r>
          </w:p>
        </w:tc>
        <w:tc>
          <w:tcPr>
            <w:tcW w:w="1704"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211184.43</w:t>
            </w:r>
          </w:p>
        </w:tc>
        <w:tc>
          <w:tcPr>
            <w:tcW w:w="1704"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247093.04</w:t>
            </w:r>
          </w:p>
        </w:tc>
        <w:tc>
          <w:tcPr>
            <w:tcW w:w="1705"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243301.67</w:t>
            </w:r>
          </w:p>
        </w:tc>
        <w:tc>
          <w:tcPr>
            <w:tcW w:w="1705" w:type="dxa"/>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98.47%</w:t>
            </w:r>
          </w:p>
        </w:tc>
      </w:tr>
    </w:tbl>
    <w:p>
      <w:pPr>
        <w:numPr>
          <w:ilvl w:val="0"/>
          <w:numId w:val="1"/>
        </w:numPr>
        <w:spacing w:line="56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三公经费情况</w:t>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vAlign w:val="center"/>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项目</w:t>
            </w:r>
          </w:p>
        </w:tc>
        <w:tc>
          <w:tcPr>
            <w:tcW w:w="2130" w:type="dxa"/>
            <w:vAlign w:val="center"/>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预算安排数</w:t>
            </w:r>
          </w:p>
        </w:tc>
        <w:tc>
          <w:tcPr>
            <w:tcW w:w="2131" w:type="dxa"/>
            <w:vAlign w:val="center"/>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决算数</w:t>
            </w:r>
          </w:p>
        </w:tc>
        <w:tc>
          <w:tcPr>
            <w:tcW w:w="2131" w:type="dxa"/>
            <w:vAlign w:val="center"/>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预算执行率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vAlign w:val="center"/>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因公出国境费用</w:t>
            </w:r>
          </w:p>
        </w:tc>
        <w:tc>
          <w:tcPr>
            <w:tcW w:w="2130" w:type="dxa"/>
            <w:vAlign w:val="center"/>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0</w:t>
            </w:r>
          </w:p>
        </w:tc>
        <w:tc>
          <w:tcPr>
            <w:tcW w:w="2131" w:type="dxa"/>
            <w:vAlign w:val="center"/>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0</w:t>
            </w:r>
          </w:p>
        </w:tc>
        <w:tc>
          <w:tcPr>
            <w:tcW w:w="2131" w:type="dxa"/>
            <w:vAlign w:val="center"/>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vAlign w:val="center"/>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公务用车购置及运行维护费</w:t>
            </w:r>
          </w:p>
        </w:tc>
        <w:tc>
          <w:tcPr>
            <w:tcW w:w="2130" w:type="dxa"/>
            <w:vAlign w:val="center"/>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1330.9</w:t>
            </w:r>
          </w:p>
        </w:tc>
        <w:tc>
          <w:tcPr>
            <w:tcW w:w="2131" w:type="dxa"/>
            <w:vAlign w:val="center"/>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819.82</w:t>
            </w:r>
          </w:p>
        </w:tc>
        <w:tc>
          <w:tcPr>
            <w:tcW w:w="2131" w:type="dxa"/>
            <w:vAlign w:val="center"/>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61.59%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vAlign w:val="center"/>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公务接待费</w:t>
            </w:r>
          </w:p>
        </w:tc>
        <w:tc>
          <w:tcPr>
            <w:tcW w:w="2130" w:type="dxa"/>
            <w:vAlign w:val="center"/>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100</w:t>
            </w:r>
          </w:p>
        </w:tc>
        <w:tc>
          <w:tcPr>
            <w:tcW w:w="2131" w:type="dxa"/>
            <w:vAlign w:val="center"/>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35.45</w:t>
            </w:r>
          </w:p>
        </w:tc>
        <w:tc>
          <w:tcPr>
            <w:tcW w:w="2131" w:type="dxa"/>
            <w:vAlign w:val="center"/>
          </w:tcPr>
          <w:p>
            <w:pPr>
              <w:spacing w:line="560" w:lineRule="exact"/>
              <w:jc w:val="center"/>
              <w:rPr>
                <w:rFonts w:ascii="方正仿宋_GBK" w:hAnsi="宋体" w:eastAsia="方正仿宋_GBK"/>
                <w:sz w:val="24"/>
                <w:szCs w:val="24"/>
              </w:rPr>
            </w:pPr>
            <w:r>
              <w:rPr>
                <w:rFonts w:hint="eastAsia" w:ascii="方正仿宋_GBK" w:hAnsi="宋体" w:eastAsia="方正仿宋_GBK"/>
                <w:sz w:val="24"/>
                <w:szCs w:val="24"/>
              </w:rPr>
              <w:t>35.45%</w:t>
            </w:r>
          </w:p>
        </w:tc>
      </w:tr>
    </w:tbl>
    <w:p>
      <w:pPr>
        <w:numPr>
          <w:ilvl w:val="0"/>
          <w:numId w:val="1"/>
        </w:numPr>
        <w:spacing w:line="56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专项资金情况</w:t>
      </w:r>
    </w:p>
    <w:p>
      <w:pPr>
        <w:spacing w:line="56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2025年，南京市公安局预算共涉及2个市级专项资金项目，年初预算安排19760万元，年中预算调减4024万元，调整后预算数15736万元，实际支出15735.74万元，预算执行率99.99 %。详见表2。</w:t>
      </w:r>
    </w:p>
    <w:p>
      <w:pPr>
        <w:spacing w:line="560" w:lineRule="exact"/>
        <w:rPr>
          <w:rFonts w:ascii="方正仿宋_GBK" w:hAnsi="宋体" w:eastAsia="方正仿宋_GBK"/>
          <w:sz w:val="32"/>
          <w:szCs w:val="32"/>
        </w:rPr>
      </w:pPr>
      <w:r>
        <w:rPr>
          <w:rFonts w:hint="eastAsia" w:ascii="方正仿宋_GBK" w:hAnsi="宋体" w:eastAsia="方正仿宋_GBK"/>
          <w:sz w:val="32"/>
          <w:szCs w:val="32"/>
        </w:rPr>
        <w:t>表2  专项资金情况</w:t>
      </w:r>
    </w:p>
    <w:tbl>
      <w:tblPr>
        <w:tblStyle w:val="12"/>
        <w:tblW w:w="8522" w:type="dxa"/>
        <w:tblInd w:w="0" w:type="dxa"/>
        <w:tblLayout w:type="fixed"/>
        <w:tblCellMar>
          <w:top w:w="0" w:type="dxa"/>
          <w:left w:w="108" w:type="dxa"/>
          <w:bottom w:w="0" w:type="dxa"/>
          <w:right w:w="108" w:type="dxa"/>
        </w:tblCellMar>
      </w:tblPr>
      <w:tblGrid>
        <w:gridCol w:w="419"/>
        <w:gridCol w:w="3026"/>
        <w:gridCol w:w="1219"/>
        <w:gridCol w:w="1420"/>
        <w:gridCol w:w="1219"/>
        <w:gridCol w:w="1219"/>
      </w:tblGrid>
      <w:tr>
        <w:tblPrEx>
          <w:tblLayout w:type="fixed"/>
          <w:tblCellMar>
            <w:top w:w="0" w:type="dxa"/>
            <w:left w:w="108" w:type="dxa"/>
            <w:bottom w:w="0" w:type="dxa"/>
            <w:right w:w="108" w:type="dxa"/>
          </w:tblCellMar>
        </w:tblPrEx>
        <w:trPr>
          <w:trHeight w:val="375" w:hRule="atLeast"/>
        </w:trPr>
        <w:tc>
          <w:tcPr>
            <w:tcW w:w="4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b/>
                <w:bCs/>
                <w:kern w:val="0"/>
                <w:sz w:val="28"/>
                <w:szCs w:val="28"/>
              </w:rPr>
            </w:pPr>
            <w:r>
              <w:rPr>
                <w:rFonts w:hint="eastAsia" w:ascii="方正仿宋_GBK" w:hAnsi="宋体" w:eastAsia="方正仿宋_GBK" w:cs="宋体"/>
                <w:b/>
                <w:bCs/>
                <w:kern w:val="0"/>
                <w:sz w:val="28"/>
                <w:szCs w:val="28"/>
              </w:rPr>
              <w:t>序号</w:t>
            </w:r>
          </w:p>
        </w:tc>
        <w:tc>
          <w:tcPr>
            <w:tcW w:w="30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b/>
                <w:bCs/>
                <w:kern w:val="0"/>
                <w:sz w:val="28"/>
                <w:szCs w:val="28"/>
              </w:rPr>
            </w:pPr>
            <w:r>
              <w:rPr>
                <w:rFonts w:hint="eastAsia" w:ascii="方正仿宋_GBK" w:hAnsi="宋体" w:eastAsia="方正仿宋_GBK" w:cs="宋体"/>
                <w:b/>
                <w:bCs/>
                <w:kern w:val="0"/>
                <w:sz w:val="28"/>
                <w:szCs w:val="28"/>
              </w:rPr>
              <w:t>项目名称</w:t>
            </w:r>
          </w:p>
        </w:tc>
        <w:tc>
          <w:tcPr>
            <w:tcW w:w="5077"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b/>
                <w:bCs/>
                <w:kern w:val="0"/>
                <w:sz w:val="28"/>
                <w:szCs w:val="28"/>
              </w:rPr>
            </w:pPr>
            <w:bookmarkStart w:id="0" w:name="_GoBack"/>
            <w:bookmarkEnd w:id="0"/>
            <w:r>
              <w:rPr>
                <w:rFonts w:hint="eastAsia" w:ascii="方正仿宋_GBK" w:hAnsi="宋体" w:eastAsia="方正仿宋_GBK" w:cs="宋体"/>
                <w:b/>
                <w:bCs/>
                <w:kern w:val="0"/>
                <w:sz w:val="28"/>
                <w:szCs w:val="28"/>
              </w:rPr>
              <w:t>2025年</w:t>
            </w:r>
          </w:p>
        </w:tc>
      </w:tr>
      <w:tr>
        <w:tblPrEx>
          <w:tblLayout w:type="fixed"/>
          <w:tblCellMar>
            <w:top w:w="0" w:type="dxa"/>
            <w:left w:w="108" w:type="dxa"/>
            <w:bottom w:w="0" w:type="dxa"/>
            <w:right w:w="108" w:type="dxa"/>
          </w:tblCellMar>
        </w:tblPrEx>
        <w:trPr>
          <w:trHeight w:val="375" w:hRule="atLeast"/>
        </w:trPr>
        <w:tc>
          <w:tcPr>
            <w:tcW w:w="41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方正仿宋_GBK" w:hAnsi="宋体" w:eastAsia="方正仿宋_GBK" w:cs="宋体"/>
                <w:b/>
                <w:bCs/>
                <w:kern w:val="0"/>
                <w:sz w:val="28"/>
                <w:szCs w:val="28"/>
              </w:rPr>
            </w:pPr>
          </w:p>
        </w:tc>
        <w:tc>
          <w:tcPr>
            <w:tcW w:w="302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方正仿宋_GBK" w:hAnsi="宋体" w:eastAsia="方正仿宋_GBK" w:cs="宋体"/>
                <w:b/>
                <w:bCs/>
                <w:kern w:val="0"/>
                <w:sz w:val="28"/>
                <w:szCs w:val="28"/>
              </w:rPr>
            </w:pPr>
          </w:p>
        </w:tc>
        <w:tc>
          <w:tcPr>
            <w:tcW w:w="1219"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8"/>
                <w:szCs w:val="28"/>
              </w:rPr>
            </w:pPr>
            <w:r>
              <w:rPr>
                <w:rFonts w:hint="eastAsia" w:ascii="方正仿宋_GBK" w:hAnsi="宋体" w:eastAsia="方正仿宋_GBK" w:cs="宋体"/>
                <w:color w:val="000000"/>
                <w:kern w:val="0"/>
                <w:sz w:val="28"/>
                <w:szCs w:val="28"/>
              </w:rPr>
              <w:t>预算安排数</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8"/>
                <w:szCs w:val="28"/>
              </w:rPr>
            </w:pPr>
            <w:r>
              <w:rPr>
                <w:rFonts w:hint="eastAsia" w:ascii="方正仿宋_GBK" w:hAnsi="宋体" w:eastAsia="方正仿宋_GBK" w:cs="宋体"/>
                <w:color w:val="000000"/>
                <w:kern w:val="0"/>
                <w:sz w:val="28"/>
                <w:szCs w:val="28"/>
              </w:rPr>
              <w:t>调整后预算数</w:t>
            </w:r>
          </w:p>
        </w:tc>
        <w:tc>
          <w:tcPr>
            <w:tcW w:w="1219"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8"/>
                <w:szCs w:val="28"/>
              </w:rPr>
            </w:pPr>
            <w:r>
              <w:rPr>
                <w:rFonts w:hint="eastAsia" w:ascii="方正仿宋_GBK" w:hAnsi="宋体" w:eastAsia="方正仿宋_GBK" w:cs="宋体"/>
                <w:color w:val="000000"/>
                <w:kern w:val="0"/>
                <w:sz w:val="28"/>
                <w:szCs w:val="28"/>
              </w:rPr>
              <w:t>实际支出数</w:t>
            </w:r>
          </w:p>
        </w:tc>
        <w:tc>
          <w:tcPr>
            <w:tcW w:w="1219"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8"/>
                <w:szCs w:val="28"/>
              </w:rPr>
            </w:pPr>
            <w:r>
              <w:rPr>
                <w:rFonts w:hint="eastAsia" w:ascii="方正仿宋_GBK" w:hAnsi="宋体" w:eastAsia="方正仿宋_GBK" w:cs="宋体"/>
                <w:color w:val="000000"/>
                <w:kern w:val="0"/>
                <w:sz w:val="28"/>
                <w:szCs w:val="28"/>
              </w:rPr>
              <w:t>预算执行率</w:t>
            </w:r>
          </w:p>
        </w:tc>
      </w:tr>
      <w:tr>
        <w:tblPrEx>
          <w:tblLayout w:type="fixed"/>
          <w:tblCellMar>
            <w:top w:w="0" w:type="dxa"/>
            <w:left w:w="108" w:type="dxa"/>
            <w:bottom w:w="0" w:type="dxa"/>
            <w:right w:w="108" w:type="dxa"/>
          </w:tblCellMar>
        </w:tblPrEx>
        <w:trPr>
          <w:trHeight w:val="375" w:hRule="atLeast"/>
        </w:trPr>
        <w:tc>
          <w:tcPr>
            <w:tcW w:w="41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8"/>
                <w:szCs w:val="28"/>
              </w:rPr>
            </w:pPr>
            <w:r>
              <w:rPr>
                <w:rFonts w:hint="eastAsia" w:ascii="方正仿宋_GBK" w:hAnsi="宋体" w:eastAsia="方正仿宋_GBK" w:cs="宋体"/>
                <w:color w:val="000000"/>
                <w:kern w:val="0"/>
                <w:sz w:val="28"/>
                <w:szCs w:val="28"/>
              </w:rPr>
              <w:t>1</w:t>
            </w:r>
          </w:p>
        </w:tc>
        <w:tc>
          <w:tcPr>
            <w:tcW w:w="302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8"/>
                <w:szCs w:val="28"/>
              </w:rPr>
            </w:pPr>
            <w:r>
              <w:rPr>
                <w:rFonts w:hint="eastAsia" w:ascii="方正仿宋_GBK" w:hAnsi="宋体" w:eastAsia="方正仿宋_GBK" w:cs="宋体"/>
                <w:color w:val="000000"/>
                <w:kern w:val="0"/>
                <w:sz w:val="28"/>
                <w:szCs w:val="28"/>
              </w:rPr>
              <w:t>公安十三五规划重点信息化项目</w:t>
            </w:r>
          </w:p>
        </w:tc>
        <w:tc>
          <w:tcPr>
            <w:tcW w:w="1219"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8"/>
                <w:szCs w:val="28"/>
              </w:rPr>
            </w:pPr>
            <w:r>
              <w:rPr>
                <w:rFonts w:hint="eastAsia" w:ascii="方正仿宋_GBK" w:hAnsi="宋体" w:eastAsia="方正仿宋_GBK" w:cs="宋体"/>
                <w:color w:val="000000"/>
                <w:kern w:val="0"/>
                <w:sz w:val="28"/>
                <w:szCs w:val="28"/>
              </w:rPr>
              <w:t>5760</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8"/>
                <w:szCs w:val="28"/>
              </w:rPr>
            </w:pPr>
            <w:r>
              <w:rPr>
                <w:rFonts w:hint="eastAsia" w:ascii="方正仿宋_GBK" w:hAnsi="宋体" w:eastAsia="方正仿宋_GBK" w:cs="宋体"/>
                <w:color w:val="000000"/>
                <w:kern w:val="0"/>
                <w:sz w:val="28"/>
                <w:szCs w:val="28"/>
              </w:rPr>
              <w:t>4536</w:t>
            </w:r>
          </w:p>
        </w:tc>
        <w:tc>
          <w:tcPr>
            <w:tcW w:w="1219"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8"/>
                <w:szCs w:val="28"/>
              </w:rPr>
            </w:pPr>
            <w:r>
              <w:rPr>
                <w:rFonts w:hint="eastAsia" w:ascii="方正仿宋_GBK" w:hAnsi="宋体" w:eastAsia="方正仿宋_GBK" w:cs="宋体"/>
                <w:color w:val="000000"/>
                <w:kern w:val="0"/>
                <w:sz w:val="28"/>
                <w:szCs w:val="28"/>
              </w:rPr>
              <w:t>4535.74</w:t>
            </w:r>
          </w:p>
        </w:tc>
        <w:tc>
          <w:tcPr>
            <w:tcW w:w="1219"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8"/>
                <w:szCs w:val="28"/>
              </w:rPr>
            </w:pPr>
            <w:r>
              <w:rPr>
                <w:rFonts w:hint="eastAsia" w:ascii="方正仿宋_GBK" w:hAnsi="宋体" w:eastAsia="方正仿宋_GBK" w:cs="宋体"/>
                <w:color w:val="000000"/>
                <w:kern w:val="0"/>
                <w:sz w:val="28"/>
                <w:szCs w:val="28"/>
              </w:rPr>
              <w:t>99.99%</w:t>
            </w:r>
          </w:p>
        </w:tc>
      </w:tr>
      <w:tr>
        <w:tblPrEx>
          <w:tblLayout w:type="fixed"/>
          <w:tblCellMar>
            <w:top w:w="0" w:type="dxa"/>
            <w:left w:w="108" w:type="dxa"/>
            <w:bottom w:w="0" w:type="dxa"/>
            <w:right w:w="108" w:type="dxa"/>
          </w:tblCellMar>
        </w:tblPrEx>
        <w:trPr>
          <w:trHeight w:val="375" w:hRule="atLeast"/>
        </w:trPr>
        <w:tc>
          <w:tcPr>
            <w:tcW w:w="41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8"/>
                <w:szCs w:val="28"/>
              </w:rPr>
            </w:pPr>
            <w:r>
              <w:rPr>
                <w:rFonts w:hint="eastAsia" w:ascii="方正仿宋_GBK" w:hAnsi="宋体" w:eastAsia="方正仿宋_GBK" w:cs="宋体"/>
                <w:color w:val="000000"/>
                <w:kern w:val="0"/>
                <w:sz w:val="28"/>
                <w:szCs w:val="28"/>
              </w:rPr>
              <w:t>2</w:t>
            </w:r>
          </w:p>
        </w:tc>
        <w:tc>
          <w:tcPr>
            <w:tcW w:w="302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8"/>
                <w:szCs w:val="28"/>
              </w:rPr>
            </w:pPr>
            <w:r>
              <w:rPr>
                <w:rFonts w:hint="eastAsia" w:ascii="方正仿宋_GBK" w:hAnsi="宋体" w:eastAsia="方正仿宋_GBK" w:cs="宋体"/>
                <w:color w:val="000000"/>
                <w:kern w:val="0"/>
                <w:sz w:val="28"/>
                <w:szCs w:val="28"/>
              </w:rPr>
              <w:t>公安基础设施建设项目</w:t>
            </w:r>
          </w:p>
        </w:tc>
        <w:tc>
          <w:tcPr>
            <w:tcW w:w="1219"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8"/>
                <w:szCs w:val="28"/>
              </w:rPr>
            </w:pPr>
            <w:r>
              <w:rPr>
                <w:rFonts w:hint="eastAsia" w:ascii="方正仿宋_GBK" w:hAnsi="宋体" w:eastAsia="方正仿宋_GBK" w:cs="宋体"/>
                <w:color w:val="000000"/>
                <w:kern w:val="0"/>
                <w:sz w:val="28"/>
                <w:szCs w:val="28"/>
              </w:rPr>
              <w:t>14000</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8"/>
                <w:szCs w:val="28"/>
              </w:rPr>
            </w:pPr>
            <w:r>
              <w:rPr>
                <w:rFonts w:hint="eastAsia" w:ascii="方正仿宋_GBK" w:hAnsi="宋体" w:eastAsia="方正仿宋_GBK" w:cs="宋体"/>
                <w:color w:val="000000"/>
                <w:kern w:val="0"/>
                <w:sz w:val="28"/>
                <w:szCs w:val="28"/>
              </w:rPr>
              <w:t>11200</w:t>
            </w:r>
          </w:p>
        </w:tc>
        <w:tc>
          <w:tcPr>
            <w:tcW w:w="1219"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8"/>
                <w:szCs w:val="28"/>
              </w:rPr>
            </w:pPr>
            <w:r>
              <w:rPr>
                <w:rFonts w:hint="eastAsia" w:ascii="方正仿宋_GBK" w:hAnsi="宋体" w:eastAsia="方正仿宋_GBK" w:cs="宋体"/>
                <w:color w:val="000000"/>
                <w:kern w:val="0"/>
                <w:sz w:val="28"/>
                <w:szCs w:val="28"/>
              </w:rPr>
              <w:t>11200</w:t>
            </w:r>
          </w:p>
        </w:tc>
        <w:tc>
          <w:tcPr>
            <w:tcW w:w="1219"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8"/>
                <w:szCs w:val="28"/>
              </w:rPr>
            </w:pPr>
            <w:r>
              <w:rPr>
                <w:rFonts w:hint="eastAsia" w:ascii="方正仿宋_GBK" w:hAnsi="宋体" w:eastAsia="方正仿宋_GBK" w:cs="宋体"/>
                <w:color w:val="000000"/>
                <w:kern w:val="0"/>
                <w:sz w:val="28"/>
                <w:szCs w:val="28"/>
              </w:rPr>
              <w:t>100.00%</w:t>
            </w:r>
          </w:p>
        </w:tc>
      </w:tr>
    </w:tbl>
    <w:p>
      <w:pPr>
        <w:spacing w:line="560" w:lineRule="exact"/>
        <w:rPr>
          <w:rFonts w:ascii="方正仿宋_GBK" w:hAnsi="宋体" w:eastAsia="方正仿宋_GBK"/>
          <w:sz w:val="32"/>
          <w:szCs w:val="32"/>
        </w:rPr>
      </w:pPr>
    </w:p>
    <w:p>
      <w:pPr>
        <w:spacing w:line="560" w:lineRule="exact"/>
        <w:ind w:firstLine="640" w:firstLineChars="200"/>
        <w:rPr>
          <w:rFonts w:ascii="方正仿宋_GBK" w:hAnsi="宋体" w:eastAsia="方正仿宋_GBK" w:cs="宋体"/>
          <w:kern w:val="0"/>
          <w:sz w:val="32"/>
          <w:szCs w:val="32"/>
        </w:rPr>
      </w:pPr>
      <w:r>
        <w:rPr>
          <w:rFonts w:hint="eastAsia" w:ascii="方正仿宋_GBK" w:hAnsi="宋体" w:eastAsia="方正仿宋_GBK" w:cs="宋体"/>
          <w:kern w:val="0"/>
          <w:sz w:val="32"/>
          <w:szCs w:val="32"/>
        </w:rPr>
        <w:t>（三）部门绩效目标</w:t>
      </w:r>
    </w:p>
    <w:p>
      <w:pPr>
        <w:autoSpaceDE w:val="0"/>
        <w:autoSpaceDN w:val="0"/>
        <w:snapToGrid w:val="0"/>
        <w:spacing w:line="560" w:lineRule="exact"/>
        <w:ind w:firstLine="640" w:firstLineChars="200"/>
        <w:rPr>
          <w:rFonts w:ascii="方正楷体_GBK" w:eastAsia="方正楷体_GBK"/>
          <w:sz w:val="32"/>
          <w:szCs w:val="32"/>
        </w:rPr>
      </w:pPr>
      <w:r>
        <w:rPr>
          <w:rFonts w:hint="eastAsia" w:ascii="方正楷体_GBK" w:eastAsia="方正楷体_GBK"/>
          <w:sz w:val="32"/>
          <w:szCs w:val="32"/>
        </w:rPr>
        <w:t>1、中长期阶段性目标</w:t>
      </w:r>
    </w:p>
    <w:p>
      <w:pPr>
        <w:spacing w:line="56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深刻领悟“两个确立”的决定性意义，充分认识当前形势新变化新特点，切实增强应对风险挑战的责任感紧迫感。坚定不移深化公安改革创新，奋力争当全国公安工作现代化的引领者领跑者。着力防范化解影响安全稳定的各类风险挑战，坚决维护政治安全、社会安定、人民安宁。大力推动法治公安建设提档升级，全面提升执法质量和执法公信力。紧紧围绕全市高质量发展大局，积极推出更多更好的服务保障措施。毫不动摇坚持全面从严管党治警，着力锻造“四个铁一般”过硬公安队伍。</w:t>
      </w:r>
    </w:p>
    <w:p>
      <w:pPr>
        <w:autoSpaceDE w:val="0"/>
        <w:autoSpaceDN w:val="0"/>
        <w:snapToGrid w:val="0"/>
        <w:spacing w:line="560" w:lineRule="exact"/>
        <w:ind w:firstLine="640" w:firstLineChars="200"/>
        <w:rPr>
          <w:rFonts w:ascii="方正楷体_GBK" w:eastAsia="方正楷体_GBK"/>
          <w:sz w:val="32"/>
          <w:szCs w:val="32"/>
        </w:rPr>
      </w:pPr>
      <w:r>
        <w:rPr>
          <w:rFonts w:hint="eastAsia" w:ascii="方正楷体_GBK" w:eastAsia="方正楷体_GBK"/>
          <w:sz w:val="32"/>
          <w:szCs w:val="32"/>
        </w:rPr>
        <w:t>2、年度目标</w:t>
      </w:r>
    </w:p>
    <w:p>
      <w:pPr>
        <w:spacing w:line="560" w:lineRule="exact"/>
        <w:ind w:firstLine="640" w:firstLineChars="200"/>
        <w:rPr>
          <w:rFonts w:ascii="方正仿宋_GBK" w:hAnsi="宋体" w:eastAsia="方正仿宋_GBK" w:cs="宋体"/>
          <w:sz w:val="32"/>
          <w:szCs w:val="32"/>
        </w:rPr>
      </w:pPr>
      <w:r>
        <w:rPr>
          <w:rFonts w:hint="eastAsia" w:ascii="方正仿宋_GBK" w:hAnsi="宋体" w:eastAsia="方正仿宋_GBK" w:cs="宋体"/>
          <w:sz w:val="32"/>
          <w:szCs w:val="32"/>
        </w:rPr>
        <w:t>坚持以习近平新时代中国特色社会主义思想为指导，全力以赴防风险、保安全、推改革、促发展，人民群众安全感进一步提升，用忠诚和汗水交出了一份亮眼的“成绩单”。</w:t>
      </w:r>
    </w:p>
    <w:p>
      <w:pPr>
        <w:spacing w:line="560" w:lineRule="exact"/>
        <w:ind w:firstLine="640" w:firstLineChars="200"/>
        <w:rPr>
          <w:rFonts w:ascii="方正仿宋_GBK" w:hAnsi="宋体" w:eastAsia="方正仿宋_GBK" w:cs="宋体"/>
          <w:sz w:val="32"/>
          <w:szCs w:val="32"/>
        </w:rPr>
      </w:pPr>
      <w:r>
        <w:rPr>
          <w:rFonts w:hint="eastAsia" w:ascii="方正仿宋_GBK" w:hAnsi="宋体" w:eastAsia="方正仿宋_GBK" w:cs="宋体"/>
          <w:sz w:val="32"/>
          <w:szCs w:val="32"/>
        </w:rPr>
        <w:t>2025年是“十四五”规划收官之年，是进一步全面深化改革的重要一年，全市公安将以习近平新时代中国特色社会主义思想为指导，全面贯彻落实党的二十大和二十届二中、三中全会精神，深入学习习近平法治思想和习近平总书记对政法公安工作、江苏工作的重要讲话重要指示精神，深刻领悟“两个确立”的决定性意义，增强“四个意识”、坚定“四个自信”、做到“两个维护”，坚持党的绝对领导，坚持人民至上，以防范化解重大风险为工作基点，以实施公安机关新质战斗力提升工程为重要载体，以严格规范公正文明执法为基本要求，以深化过硬铁军建设为根本保证，纵深实施现代警务战略，全面提升防风险、保安全、护稳定、促发展的整体能力，全力争当公安工作现代化的引领者领跑者，以实际行动护航中国式现代化南京新实践。</w:t>
      </w:r>
    </w:p>
    <w:p>
      <w:pPr>
        <w:spacing w:line="560" w:lineRule="exact"/>
        <w:ind w:firstLine="640" w:firstLineChars="200"/>
        <w:rPr>
          <w:rFonts w:ascii="方正仿宋_GBK" w:hAnsi="宋体" w:eastAsia="方正仿宋_GBK" w:cs="宋体"/>
          <w:sz w:val="32"/>
          <w:szCs w:val="32"/>
        </w:rPr>
      </w:pPr>
    </w:p>
    <w:p>
      <w:pPr>
        <w:widowControl/>
        <w:spacing w:line="560" w:lineRule="exact"/>
        <w:ind w:firstLine="640" w:firstLineChars="200"/>
        <w:rPr>
          <w:rFonts w:ascii="方正黑体_GBK" w:hAnsi="黑体" w:eastAsia="方正黑体_GBK" w:cs="宋体"/>
          <w:kern w:val="0"/>
          <w:sz w:val="32"/>
          <w:szCs w:val="32"/>
        </w:rPr>
      </w:pPr>
      <w:r>
        <w:rPr>
          <w:rFonts w:hint="eastAsia" w:ascii="方正黑体_GBK" w:hAnsi="黑体" w:eastAsia="方正黑体_GBK" w:cs="宋体"/>
          <w:kern w:val="0"/>
          <w:sz w:val="32"/>
          <w:szCs w:val="32"/>
        </w:rPr>
        <w:t>二、评价结论</w:t>
      </w:r>
    </w:p>
    <w:p>
      <w:pPr>
        <w:spacing w:line="560" w:lineRule="exact"/>
        <w:ind w:firstLine="640" w:firstLineChars="200"/>
        <w:rPr>
          <w:rFonts w:ascii="方正仿宋_GBK" w:hAnsi="宋体" w:eastAsia="方正仿宋_GBK" w:cs="宋体"/>
          <w:kern w:val="0"/>
          <w:sz w:val="32"/>
          <w:szCs w:val="32"/>
        </w:rPr>
      </w:pPr>
      <w:r>
        <w:rPr>
          <w:rFonts w:hint="eastAsia" w:ascii="方正仿宋_GBK" w:hAnsi="宋体" w:eastAsia="方正仿宋_GBK" w:cs="宋体"/>
          <w:kern w:val="0"/>
          <w:sz w:val="32"/>
          <w:szCs w:val="32"/>
        </w:rPr>
        <w:t>（一）评价对象、范围</w:t>
      </w:r>
    </w:p>
    <w:p>
      <w:pPr>
        <w:spacing w:line="560" w:lineRule="exact"/>
        <w:ind w:firstLine="640" w:firstLineChars="200"/>
        <w:rPr>
          <w:rFonts w:ascii="方正仿宋_GBK" w:hAnsi="宋体" w:eastAsia="方正仿宋_GBK" w:cs="宋体"/>
          <w:sz w:val="32"/>
          <w:szCs w:val="32"/>
        </w:rPr>
      </w:pPr>
      <w:r>
        <w:rPr>
          <w:rFonts w:hint="eastAsia" w:ascii="方正仿宋_GBK" w:hAnsi="宋体" w:eastAsia="方正仿宋_GBK" w:cs="宋体"/>
          <w:sz w:val="32"/>
          <w:szCs w:val="32"/>
        </w:rPr>
        <w:t>通过对市财政2025年度安排市局机关的预算配置、预算资金管理、资产管理、职责履行、履职效益等内容的绩效考评，提高财政资金的使用效率，为财政部门预算管理提供决策依据。</w:t>
      </w:r>
    </w:p>
    <w:p>
      <w:pPr>
        <w:spacing w:line="560" w:lineRule="exact"/>
        <w:ind w:firstLine="640" w:firstLineChars="200"/>
        <w:rPr>
          <w:rFonts w:ascii="方正仿宋_GBK" w:hAnsi="宋体" w:eastAsia="方正仿宋_GBK" w:cs="宋体"/>
          <w:sz w:val="32"/>
          <w:szCs w:val="32"/>
        </w:rPr>
      </w:pPr>
      <w:r>
        <w:rPr>
          <w:rFonts w:hint="eastAsia" w:ascii="方正仿宋_GBK" w:hAnsi="宋体" w:eastAsia="方正仿宋_GBK" w:cs="宋体"/>
          <w:sz w:val="32"/>
          <w:szCs w:val="32"/>
        </w:rPr>
        <w:t>本次评价对象为南京市公安局局部门整体资金230884.43万元，包括基本支出和项目支出，重点关注市级专项支出。评价时段为2025年1月1日至12月31日。</w:t>
      </w:r>
    </w:p>
    <w:p>
      <w:pPr>
        <w:spacing w:line="560" w:lineRule="exact"/>
        <w:ind w:firstLine="640" w:firstLineChars="200"/>
        <w:rPr>
          <w:rFonts w:ascii="方正仿宋_GBK" w:hAnsi="宋体" w:eastAsia="方正仿宋_GBK" w:cs="宋体"/>
          <w:sz w:val="32"/>
          <w:szCs w:val="32"/>
        </w:rPr>
      </w:pPr>
    </w:p>
    <w:p>
      <w:pPr>
        <w:spacing w:line="560" w:lineRule="exact"/>
        <w:ind w:firstLine="640" w:firstLineChars="200"/>
        <w:rPr>
          <w:rFonts w:ascii="方正仿宋_GBK" w:hAnsi="宋体" w:eastAsia="方正仿宋_GBK" w:cs="宋体"/>
          <w:kern w:val="0"/>
          <w:sz w:val="32"/>
          <w:szCs w:val="32"/>
        </w:rPr>
      </w:pPr>
      <w:r>
        <w:rPr>
          <w:rFonts w:hint="eastAsia" w:ascii="方正仿宋_GBK" w:hAnsi="宋体" w:eastAsia="方正仿宋_GBK" w:cs="宋体"/>
          <w:kern w:val="0"/>
          <w:sz w:val="32"/>
          <w:szCs w:val="32"/>
        </w:rPr>
        <w:t>（二）绩效评价结论</w:t>
      </w:r>
    </w:p>
    <w:p>
      <w:pPr>
        <w:spacing w:line="560" w:lineRule="exact"/>
        <w:ind w:firstLine="640" w:firstLineChars="200"/>
        <w:rPr>
          <w:rFonts w:ascii="方正仿宋_GBK" w:hAnsi="宋体" w:eastAsia="方正仿宋_GBK" w:cs="宋体"/>
          <w:sz w:val="32"/>
          <w:szCs w:val="32"/>
          <w:lang w:val="zh-CN"/>
        </w:rPr>
      </w:pPr>
      <w:r>
        <w:rPr>
          <w:rFonts w:hint="eastAsia" w:ascii="方正仿宋_GBK" w:hAnsi="宋体" w:eastAsia="方正仿宋_GBK" w:cs="宋体"/>
          <w:sz w:val="32"/>
          <w:szCs w:val="32"/>
        </w:rPr>
        <w:t>2025年是“十四五”规划收官之年，南京公安纵深推进现代警务战略，全力以赴防风险、保安全、护稳定、强改革、促发展，推动警务运行从“条块分割”向“一体协同”转型，从“事后处置”向“事前预防”延伸，违法犯罪警情同比下降28.2%，刑事发案再创新低；波次开展“夏季行动”“秋冬攻坚”，入室盗窃破案率达98%，电诈警情数、立案数、损失数同比分别下降12.4%、10.3%、12.7%，有力维护了全市社会大局持续平安稳定。自评价综合得分98分，</w:t>
      </w:r>
      <w:r>
        <w:rPr>
          <w:rFonts w:hint="eastAsia" w:ascii="方正仿宋_GBK" w:hAnsi="宋体" w:eastAsia="方正仿宋_GBK" w:cs="宋体"/>
          <w:sz w:val="32"/>
          <w:szCs w:val="32"/>
          <w:lang w:val="zh-CN"/>
        </w:rPr>
        <w:t>等级为“优”。</w:t>
      </w:r>
    </w:p>
    <w:p>
      <w:pPr>
        <w:spacing w:line="560" w:lineRule="exact"/>
        <w:ind w:firstLine="640" w:firstLineChars="200"/>
        <w:rPr>
          <w:rFonts w:ascii="方正仿宋_GBK" w:hAnsi="宋体" w:eastAsia="方正仿宋_GBK" w:cs="宋体"/>
          <w:sz w:val="32"/>
          <w:szCs w:val="32"/>
        </w:rPr>
      </w:pPr>
      <w:r>
        <w:rPr>
          <w:rFonts w:hint="eastAsia" w:ascii="方正仿宋_GBK" w:hAnsi="宋体" w:eastAsia="方正仿宋_GBK" w:cs="宋体"/>
          <w:sz w:val="32"/>
          <w:szCs w:val="32"/>
        </w:rPr>
        <w:t>经综合评价，2025年度南京市公安局局整体绩效评价得分98分，等级为“优”。整体而言，2025年度南京市公安局</w:t>
      </w:r>
      <w:r>
        <w:rPr>
          <w:rFonts w:hint="eastAsia" w:ascii="方正仿宋_GBK" w:hAnsi="宋体" w:eastAsia="方正仿宋_GBK"/>
          <w:sz w:val="32"/>
          <w:szCs w:val="32"/>
        </w:rPr>
        <w:t>力防范化解影响安全稳定的各类风险挑战，坚决维护政治安全、社会安定、人民安宁。大力推动法治公安建设提档升级，全面提升执法质量和执法公信力，取得良好成效</w:t>
      </w:r>
      <w:r>
        <w:rPr>
          <w:rFonts w:hint="eastAsia" w:ascii="方正仿宋_GBK" w:hAnsi="宋体" w:eastAsia="方正仿宋_GBK" w:cs="宋体"/>
          <w:sz w:val="32"/>
          <w:szCs w:val="32"/>
        </w:rPr>
        <w:t>，但也存在不足，如打击电信网络诈骗还未取得压倒性胜利，在宣传上还存在不足之处。</w:t>
      </w:r>
    </w:p>
    <w:p>
      <w:pPr>
        <w:widowControl/>
        <w:spacing w:line="560" w:lineRule="exact"/>
        <w:ind w:left="640"/>
        <w:rPr>
          <w:rFonts w:ascii="黑体" w:hAnsi="黑体" w:eastAsia="黑体" w:cs="宋体"/>
          <w:kern w:val="0"/>
          <w:sz w:val="32"/>
          <w:szCs w:val="32"/>
        </w:rPr>
      </w:pPr>
      <w:r>
        <w:rPr>
          <w:rFonts w:hint="eastAsia" w:ascii="黑体" w:hAnsi="黑体" w:eastAsia="黑体" w:cs="宋体"/>
          <w:kern w:val="0"/>
          <w:sz w:val="32"/>
          <w:szCs w:val="32"/>
        </w:rPr>
        <w:t>三、部门履职成效</w:t>
      </w:r>
    </w:p>
    <w:p>
      <w:pPr>
        <w:spacing w:line="560" w:lineRule="exact"/>
        <w:ind w:firstLine="640" w:firstLineChars="200"/>
        <w:rPr>
          <w:rFonts w:ascii="方正仿宋_GBK" w:hAnsi="宋体" w:eastAsia="方正仿宋_GBK" w:cs="宋体"/>
          <w:sz w:val="32"/>
          <w:szCs w:val="32"/>
        </w:rPr>
      </w:pPr>
      <w:r>
        <w:rPr>
          <w:rFonts w:hint="eastAsia" w:ascii="方正仿宋_GBK" w:hAnsi="宋体" w:eastAsia="方正仿宋_GBK" w:cs="宋体"/>
          <w:sz w:val="32"/>
          <w:szCs w:val="32"/>
        </w:rPr>
        <w:t>2025年以来，南京公安持续深化“情指行”一体化运行机制，围绕“快、联、专”持续攻坚。通过打通警种壁垒、贯通指挥层级，构建起扁平高效、反应灵敏的联合指挥体系，重大敏感警情初始响应时间缩短60%，警力到场平均提速4.2%，“再快一秒”从目标变为现实。过去一年，南京110报警服务台日均处置有效警情1.1万余起，累计服务群众求助101万余次，同比提升19.4%，这条“生命线”的畅通与高效，成为市民安全感最直接的来源。</w:t>
      </w:r>
    </w:p>
    <w:p>
      <w:pPr>
        <w:spacing w:line="560" w:lineRule="exact"/>
        <w:ind w:firstLine="640" w:firstLineChars="200"/>
        <w:rPr>
          <w:rFonts w:ascii="方正仿宋_GBK" w:hAnsi="宋体" w:eastAsia="方正仿宋_GBK" w:cs="宋体"/>
          <w:sz w:val="32"/>
          <w:szCs w:val="32"/>
        </w:rPr>
      </w:pPr>
      <w:r>
        <w:rPr>
          <w:rFonts w:hint="eastAsia" w:ascii="方正仿宋_GBK" w:hAnsi="宋体" w:eastAsia="方正仿宋_GBK" w:cs="宋体"/>
          <w:sz w:val="32"/>
          <w:szCs w:val="32"/>
        </w:rPr>
        <w:t>道路交通管理是特大城市治理的一大难题。截至2025年12月底，南京机动车保有量已突破380万辆，驾驶人超过455万人，日均交通事故类警情约占全市总警情的15%。面对群众对事故处理“更快、更简、更公平”的迫切期待，2025年4月，南京公安交管部门创新推出“全员参与、全链贯通、全域协作、全网盯办”交通事故全链条闭环处置模式，变“被动接警”为“主动发现”，依托“视频+导航”的主动巡查体系与“监控智巡+无人机”的自动巡管网络，构建起立体化的路面感知体系，使得超过40%的事故警情在当事人尚未报警前即被系统自动识别并派警，警力到场时间缩短21%，真正做到了“处警于未报之时”。</w:t>
      </w:r>
    </w:p>
    <w:p>
      <w:pPr>
        <w:spacing w:line="560" w:lineRule="exact"/>
        <w:ind w:firstLine="640" w:firstLineChars="200"/>
        <w:rPr>
          <w:rFonts w:ascii="方正仿宋_GBK" w:hAnsi="宋体" w:eastAsia="方正仿宋_GBK" w:cs="宋体"/>
          <w:sz w:val="32"/>
          <w:szCs w:val="32"/>
        </w:rPr>
      </w:pPr>
      <w:r>
        <w:rPr>
          <w:rFonts w:hint="eastAsia" w:ascii="方正仿宋_GBK" w:hAnsi="宋体" w:eastAsia="方正仿宋_GBK" w:cs="宋体"/>
          <w:sz w:val="32"/>
          <w:szCs w:val="32"/>
        </w:rPr>
        <w:t>大型活动安保是检验公安机关统筹能力与实战水平的试金石。2025年是南京的“活动大年”，全年共举办各类大型活动824场次，其中万人以上规模达226场次，同比上升35.7%，安保任务呈现规格高、密度大、风险交织的严峻挑战。南京公安治安管理部门全面拓展安保维度、提升安保精度、展现安保温度，创新推行“五新”安保模式和“安保专班化”运行机制，将安保工作前置，实现风险超前预警、方案动态优化、处置一体落实。</w:t>
      </w:r>
    </w:p>
    <w:p>
      <w:pPr>
        <w:spacing w:line="560" w:lineRule="exact"/>
        <w:ind w:firstLine="640" w:firstLineChars="200"/>
        <w:rPr>
          <w:rFonts w:ascii="方正仿宋_GBK" w:hAnsi="宋体" w:eastAsia="方正仿宋_GBK" w:cs="宋体"/>
          <w:sz w:val="32"/>
          <w:szCs w:val="32"/>
        </w:rPr>
      </w:pPr>
      <w:r>
        <w:rPr>
          <w:rFonts w:hint="eastAsia" w:ascii="方正仿宋_GBK" w:hAnsi="宋体" w:eastAsia="方正仿宋_GBK" w:cs="宋体"/>
          <w:sz w:val="32"/>
          <w:szCs w:val="32"/>
        </w:rPr>
        <w:t>在备受全国人民瞩目的“苏超”联赛安保中，南京公安围绕赛前、赛中、赛后等高风险环节细化关键节点和具体任务流程，组织治安、交警、巡特警、地铁公安等多警种地上地下协同作战，确保每场6万余名激情澎湃的球迷在比赛结束后30分钟内快速、有序、安全疏散离场，创造了大型赛事散场组织的“南京样板”。针对马拉松赛事过程中的群众出行需求，南京公安在赛事中首创“岛式穿越”，既保证选手顺利比赛，又解决市民出行需求，既拧紧了“安全阀”，又体现了“人情味”。</w:t>
      </w:r>
    </w:p>
    <w:p>
      <w:pPr>
        <w:spacing w:line="560" w:lineRule="exact"/>
        <w:ind w:firstLine="640" w:firstLineChars="200"/>
        <w:rPr>
          <w:rFonts w:ascii="方正黑体_GBK" w:hAnsi="宋体" w:eastAsia="方正黑体_GBK" w:cs="宋体"/>
          <w:sz w:val="32"/>
          <w:szCs w:val="32"/>
        </w:rPr>
      </w:pPr>
      <w:r>
        <w:rPr>
          <w:rFonts w:hint="eastAsia" w:ascii="方正黑体_GBK" w:hAnsi="宋体" w:eastAsia="方正黑体_GBK" w:cs="宋体"/>
          <w:sz w:val="32"/>
          <w:szCs w:val="32"/>
        </w:rPr>
        <w:t>四、存在的问题及原因分析</w:t>
      </w:r>
    </w:p>
    <w:p>
      <w:pPr>
        <w:spacing w:line="56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一是自评价经验不足，站位不高，自评价人员通常站在本单位职能的角度对工作进行评价，不能总体统筹考虑绩效情况</w:t>
      </w:r>
      <w:r>
        <w:rPr>
          <w:rFonts w:ascii="方正仿宋_GBK" w:hAnsi="宋体" w:eastAsia="方正仿宋_GBK"/>
          <w:sz w:val="32"/>
          <w:szCs w:val="32"/>
        </w:rPr>
        <w:t>；</w:t>
      </w:r>
      <w:r>
        <w:rPr>
          <w:rFonts w:hint="eastAsia" w:ascii="方正仿宋_GBK" w:hAnsi="宋体" w:eastAsia="方正仿宋_GBK"/>
          <w:sz w:val="32"/>
          <w:szCs w:val="32"/>
        </w:rPr>
        <w:t>二是部分项目支出具有专业性，绩效评价缺少专业知识的支撑</w:t>
      </w:r>
      <w:r>
        <w:rPr>
          <w:rFonts w:ascii="方正仿宋_GBK" w:hAnsi="宋体" w:eastAsia="方正仿宋_GBK"/>
          <w:sz w:val="32"/>
          <w:szCs w:val="32"/>
        </w:rPr>
        <w:t>；</w:t>
      </w:r>
      <w:r>
        <w:rPr>
          <w:rFonts w:hint="eastAsia" w:ascii="方正仿宋_GBK" w:hAnsi="宋体" w:eastAsia="方正仿宋_GBK"/>
          <w:sz w:val="32"/>
          <w:szCs w:val="32"/>
        </w:rPr>
        <w:t>三是存在部分绩效评价难以量化，主观判断的自由裁量空间较大。产生的原因主要是绩效评价能力不足，影响预算执行效果。</w:t>
      </w:r>
    </w:p>
    <w:p>
      <w:pPr>
        <w:spacing w:line="560" w:lineRule="exact"/>
        <w:ind w:firstLine="640" w:firstLineChars="200"/>
        <w:rPr>
          <w:rFonts w:ascii="方正黑体_GBK" w:hAnsi="宋体" w:eastAsia="方正黑体_GBK" w:cs="宋体"/>
          <w:sz w:val="32"/>
          <w:szCs w:val="32"/>
        </w:rPr>
      </w:pPr>
      <w:r>
        <w:rPr>
          <w:rFonts w:hint="eastAsia" w:ascii="方正黑体_GBK" w:hAnsi="宋体" w:eastAsia="方正黑体_GBK" w:cs="宋体"/>
          <w:sz w:val="32"/>
          <w:szCs w:val="32"/>
        </w:rPr>
        <w:t>五、有关建议</w:t>
      </w:r>
    </w:p>
    <w:p>
      <w:pPr>
        <w:spacing w:line="56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进一步健全内控制度体系，结合绩效评价结果，及时整改存在的问题，制定并完善相关制度，提高绩效管理的有效性。</w:t>
      </w:r>
    </w:p>
    <w:p>
      <w:pPr>
        <w:spacing w:line="560" w:lineRule="exact"/>
        <w:ind w:firstLine="640" w:firstLineChars="200"/>
        <w:rPr>
          <w:rFonts w:ascii="方正黑体_GBK" w:hAnsi="宋体" w:eastAsia="方正黑体_GBK" w:cs="宋体"/>
          <w:sz w:val="32"/>
          <w:szCs w:val="32"/>
        </w:rPr>
      </w:pPr>
      <w:r>
        <w:rPr>
          <w:rFonts w:hint="eastAsia" w:ascii="方正黑体_GBK" w:hAnsi="宋体" w:eastAsia="方正黑体_GBK" w:cs="宋体"/>
          <w:sz w:val="32"/>
          <w:szCs w:val="32"/>
        </w:rPr>
        <w:t>六、评价工作开展情况及其他需要说明的情况</w:t>
      </w:r>
    </w:p>
    <w:p>
      <w:pPr>
        <w:widowControl/>
        <w:ind w:firstLine="579" w:firstLineChars="181"/>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（一）绩效评价工作情况</w:t>
      </w:r>
    </w:p>
    <w:p>
      <w:pPr>
        <w:widowControl/>
        <w:ind w:firstLine="579" w:firstLineChars="181"/>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1.评价思路及方法</w:t>
      </w:r>
    </w:p>
    <w:p>
      <w:pPr>
        <w:widowControl/>
        <w:ind w:firstLine="579" w:firstLineChars="181"/>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本着客观公正、实事求是的原则，对照全年绩效目标，采用因素分析法、投入产出效益分析法、比较法等方法，围绕预算资金管理、职责履行、履职效益等内容进行全面、客观、公正的绩效考评。</w:t>
      </w:r>
    </w:p>
    <w:p>
      <w:pPr>
        <w:widowControl/>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2.评价组织及分工</w:t>
      </w:r>
    </w:p>
    <w:p>
      <w:pPr>
        <w:widowControl/>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我单位建立了以</w:t>
      </w:r>
      <w:r>
        <w:rPr>
          <w:rFonts w:hint="eastAsia" w:ascii="Times New Roman" w:hAnsi="Times New Roman" w:eastAsia="方正仿宋_GBK" w:cs="Times New Roman"/>
          <w:sz w:val="32"/>
          <w:szCs w:val="32"/>
        </w:rPr>
        <w:t>常务副局长</w:t>
      </w:r>
      <w:r>
        <w:rPr>
          <w:rFonts w:ascii="Times New Roman" w:hAnsi="Times New Roman" w:eastAsia="方正仿宋_GBK" w:cs="Times New Roman"/>
          <w:sz w:val="32"/>
          <w:szCs w:val="32"/>
        </w:rPr>
        <w:t>为</w:t>
      </w:r>
      <w:r>
        <w:rPr>
          <w:rFonts w:hint="eastAsia" w:ascii="Times New Roman" w:hAnsi="Times New Roman" w:eastAsia="方正仿宋_GBK" w:cs="Times New Roman"/>
          <w:sz w:val="32"/>
          <w:szCs w:val="32"/>
        </w:rPr>
        <w:t>评价组长</w:t>
      </w:r>
      <w:r>
        <w:rPr>
          <w:rFonts w:ascii="Times New Roman" w:hAnsi="Times New Roman" w:eastAsia="方正仿宋_GBK" w:cs="Times New Roman"/>
          <w:sz w:val="32"/>
          <w:szCs w:val="32"/>
        </w:rPr>
        <w:t>，</w:t>
      </w:r>
      <w:r>
        <w:rPr>
          <w:rFonts w:hint="eastAsia" w:ascii="方正仿宋_GBK" w:hAnsi="方正仿宋_GBK" w:eastAsia="方正仿宋_GBK" w:cs="方正仿宋_GBK"/>
          <w:sz w:val="32"/>
          <w:szCs w:val="32"/>
        </w:rPr>
        <w:t>警务保障部、人事处、情报指挥中心和法制支队</w:t>
      </w:r>
      <w:r>
        <w:rPr>
          <w:rFonts w:ascii="Times New Roman" w:hAnsi="Times New Roman" w:eastAsia="方正仿宋_GBK" w:cs="Times New Roman"/>
          <w:sz w:val="32"/>
          <w:szCs w:val="32"/>
        </w:rPr>
        <w:t>主要负责人为组员的评价小组，并明确组长和组员的工作职责。</w:t>
      </w:r>
    </w:p>
    <w:p>
      <w:pPr>
        <w:widowControl/>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3.评价过程</w:t>
      </w:r>
    </w:p>
    <w:p>
      <w:pPr>
        <w:widowControl/>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采用自下而上的评价过程。各内设机构先组织开展自评，将自评结果上报分局评价小组。评价小组结合自评结果开展综合评价并形成评价报告。</w:t>
      </w:r>
    </w:p>
    <w:p>
      <w:pPr>
        <w:widowControl/>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4.评价指标体系</w:t>
      </w:r>
    </w:p>
    <w:p>
      <w:pPr>
        <w:widowControl/>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2025年</w:t>
      </w:r>
      <w:r>
        <w:rPr>
          <w:rFonts w:ascii="Times New Roman" w:hAnsi="Times New Roman" w:eastAsia="方正仿宋_GBK" w:cs="Times New Roman"/>
          <w:color w:val="000000"/>
          <w:sz w:val="32"/>
          <w:szCs w:val="32"/>
          <w:shd w:val="clear" w:color="auto" w:fill="FFFFFF"/>
        </w:rPr>
        <w:t>南京市公安局</w:t>
      </w:r>
      <w:r>
        <w:rPr>
          <w:rFonts w:hint="eastAsia" w:ascii="Times New Roman" w:hAnsi="Times New Roman" w:eastAsia="方正仿宋_GBK" w:cs="Times New Roman"/>
          <w:color w:val="000000"/>
          <w:sz w:val="32"/>
          <w:szCs w:val="32"/>
          <w:shd w:val="clear" w:color="auto" w:fill="FFFFFF"/>
        </w:rPr>
        <w:t>（机关）</w:t>
      </w:r>
      <w:r>
        <w:rPr>
          <w:rFonts w:ascii="Times New Roman" w:hAnsi="Times New Roman" w:eastAsia="方正仿宋_GBK" w:cs="Times New Roman"/>
          <w:sz w:val="32"/>
          <w:szCs w:val="32"/>
        </w:rPr>
        <w:t>部门整体绩效评价指标体系共设计5个一级指标，12个二级指标，34个三级指标。详见附件。</w:t>
      </w:r>
    </w:p>
    <w:p>
      <w:pPr>
        <w:widowControl/>
        <w:ind w:firstLine="579" w:firstLineChars="181"/>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（二）其他需要说明的情况</w:t>
      </w:r>
    </w:p>
    <w:p>
      <w:pPr>
        <w:widowControl/>
        <w:ind w:firstLine="579" w:firstLineChars="181"/>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无。</w:t>
      </w:r>
    </w:p>
    <w:p>
      <w:pPr>
        <w:spacing w:line="560" w:lineRule="exact"/>
        <w:ind w:firstLine="640" w:firstLineChars="200"/>
        <w:rPr>
          <w:rFonts w:ascii="方正黑体_GBK" w:hAnsi="宋体" w:eastAsia="方正黑体_GBK" w:cs="宋体"/>
          <w:sz w:val="32"/>
          <w:szCs w:val="32"/>
        </w:rPr>
      </w:pPr>
    </w:p>
    <w:p>
      <w:pPr>
        <w:jc w:val="center"/>
        <w:rPr>
          <w:rFonts w:ascii="方正仿宋_GBK" w:hAnsi="宋体" w:eastAsia="方正仿宋_GBK"/>
          <w:sz w:val="32"/>
          <w:szCs w:val="32"/>
        </w:rPr>
      </w:pPr>
    </w:p>
    <w:p>
      <w:pPr>
        <w:jc w:val="center"/>
        <w:rPr>
          <w:rFonts w:ascii="方正仿宋_GBK" w:hAnsi="宋体" w:eastAsia="方正仿宋_GBK"/>
          <w:sz w:val="32"/>
          <w:szCs w:val="32"/>
        </w:rPr>
      </w:pPr>
      <w:r>
        <w:rPr>
          <w:rFonts w:hint="eastAsia" w:ascii="方正仿宋_GBK" w:hAnsi="宋体" w:eastAsia="方正仿宋_GBK"/>
          <w:sz w:val="32"/>
          <w:szCs w:val="32"/>
        </w:rPr>
        <w:t>附件：南京市公安局（机关）部门整体绩效评价指标体系</w:t>
      </w:r>
    </w:p>
    <w:p>
      <w:pPr>
        <w:widowControl/>
        <w:jc w:val="left"/>
        <w:rPr>
          <w:rFonts w:ascii="方正仿宋_GBK" w:hAnsi="宋体" w:eastAsia="方正仿宋_GBK"/>
          <w:sz w:val="32"/>
          <w:szCs w:val="32"/>
        </w:rPr>
      </w:pPr>
    </w:p>
    <w:p>
      <w:pPr>
        <w:widowControl/>
        <w:jc w:val="left"/>
        <w:rPr>
          <w:rFonts w:ascii="方正仿宋_GBK" w:hAnsi="宋体" w:eastAsia="方正仿宋_GBK"/>
          <w:sz w:val="32"/>
          <w:szCs w:val="32"/>
        </w:rPr>
      </w:pPr>
    </w:p>
    <w:p>
      <w:pPr>
        <w:spacing w:line="600" w:lineRule="exact"/>
        <w:ind w:firstLine="640" w:firstLineChars="200"/>
        <w:rPr>
          <w:rFonts w:ascii="方正仿宋_GBK" w:hAnsi="宋体" w:eastAsia="方正仿宋_GBK"/>
          <w:sz w:val="32"/>
          <w:szCs w:val="32"/>
        </w:rPr>
        <w:sectPr>
          <w:footerReference r:id="rId3" w:type="default"/>
          <w:pgSz w:w="11906" w:h="16838"/>
          <w:pgMar w:top="1440" w:right="1800" w:bottom="1440" w:left="1800" w:header="851" w:footer="567" w:gutter="0"/>
          <w:cols w:space="720" w:num="1"/>
          <w:docGrid w:type="lines" w:linePitch="312" w:charSpace="0"/>
        </w:sectPr>
      </w:pPr>
    </w:p>
    <w:p>
      <w:pPr>
        <w:jc w:val="center"/>
        <w:rPr>
          <w:rFonts w:ascii="方正小标宋_GBK" w:hAnsi="宋体" w:eastAsia="方正小标宋_GBK" w:cs="宋体"/>
          <w:sz w:val="36"/>
          <w:szCs w:val="36"/>
        </w:rPr>
      </w:pPr>
      <w:r>
        <w:rPr>
          <w:rFonts w:hint="eastAsia" w:ascii="方正小标宋_GBK" w:hAnsi="宋体" w:eastAsia="方正小标宋_GBK" w:cs="宋体"/>
          <w:sz w:val="36"/>
          <w:szCs w:val="36"/>
        </w:rPr>
        <w:t>南京市公安局（机关）部门整体绩效评价指标体系</w:t>
      </w:r>
    </w:p>
    <w:p>
      <w:pPr>
        <w:pStyle w:val="4"/>
        <w:ind w:firstLine="420"/>
      </w:pPr>
    </w:p>
    <w:tbl>
      <w:tblPr>
        <w:tblStyle w:val="12"/>
        <w:tblW w:w="15690" w:type="dxa"/>
        <w:tblInd w:w="0" w:type="dxa"/>
        <w:tblLayout w:type="fixed"/>
        <w:tblCellMar>
          <w:top w:w="0" w:type="dxa"/>
          <w:left w:w="0" w:type="dxa"/>
          <w:bottom w:w="0" w:type="dxa"/>
          <w:right w:w="0" w:type="dxa"/>
        </w:tblCellMar>
      </w:tblPr>
      <w:tblGrid>
        <w:gridCol w:w="1125"/>
        <w:gridCol w:w="1260"/>
        <w:gridCol w:w="2280"/>
        <w:gridCol w:w="2985"/>
        <w:gridCol w:w="900"/>
        <w:gridCol w:w="3300"/>
        <w:gridCol w:w="2850"/>
        <w:gridCol w:w="495"/>
        <w:gridCol w:w="495"/>
      </w:tblGrid>
      <w:tr>
        <w:tblPrEx>
          <w:tblLayout w:type="fixed"/>
          <w:tblCellMar>
            <w:top w:w="0" w:type="dxa"/>
            <w:left w:w="0" w:type="dxa"/>
            <w:bottom w:w="0" w:type="dxa"/>
            <w:right w:w="0" w:type="dxa"/>
          </w:tblCellMar>
        </w:tblPrEx>
        <w:trPr>
          <w:trHeight w:val="540" w:hRule="atLeast"/>
        </w:trPr>
        <w:tc>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b/>
                <w:color w:val="000000"/>
                <w:sz w:val="20"/>
                <w:szCs w:val="20"/>
              </w:rPr>
            </w:pPr>
            <w:r>
              <w:rPr>
                <w:rFonts w:hint="eastAsia" w:ascii="方正仿宋_GBK" w:hAnsi="方正仿宋_GBK" w:eastAsia="方正仿宋_GBK" w:cs="方正仿宋_GBK"/>
                <w:b/>
                <w:color w:val="000000"/>
                <w:kern w:val="0"/>
                <w:sz w:val="20"/>
                <w:szCs w:val="20"/>
              </w:rPr>
              <w:t>一级指标</w:t>
            </w:r>
          </w:p>
        </w:tc>
        <w:tc>
          <w:tcPr>
            <w:tcW w:w="354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b/>
                <w:color w:val="000000"/>
                <w:sz w:val="20"/>
                <w:szCs w:val="20"/>
              </w:rPr>
            </w:pPr>
            <w:r>
              <w:rPr>
                <w:rFonts w:hint="eastAsia" w:ascii="方正仿宋_GBK" w:hAnsi="方正仿宋_GBK" w:eastAsia="方正仿宋_GBK" w:cs="方正仿宋_GBK"/>
                <w:b/>
                <w:color w:val="000000"/>
                <w:kern w:val="0"/>
                <w:sz w:val="20"/>
                <w:szCs w:val="20"/>
              </w:rPr>
              <w:t>二级指标</w:t>
            </w: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b/>
                <w:color w:val="000000"/>
                <w:sz w:val="20"/>
                <w:szCs w:val="20"/>
              </w:rPr>
            </w:pPr>
            <w:r>
              <w:rPr>
                <w:rFonts w:hint="eastAsia" w:ascii="方正仿宋_GBK" w:hAnsi="方正仿宋_GBK" w:eastAsia="方正仿宋_GBK" w:cs="方正仿宋_GBK"/>
                <w:b/>
                <w:color w:val="000000"/>
                <w:kern w:val="0"/>
                <w:sz w:val="20"/>
                <w:szCs w:val="20"/>
              </w:rPr>
              <w:t>三级指标</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b/>
                <w:color w:val="000000"/>
                <w:sz w:val="20"/>
                <w:szCs w:val="20"/>
              </w:rPr>
            </w:pPr>
            <w:r>
              <w:rPr>
                <w:rFonts w:hint="eastAsia" w:ascii="方正仿宋_GBK" w:hAnsi="方正仿宋_GBK" w:eastAsia="方正仿宋_GBK" w:cs="方正仿宋_GBK"/>
                <w:b/>
                <w:color w:val="000000"/>
                <w:kern w:val="0"/>
                <w:sz w:val="20"/>
                <w:szCs w:val="20"/>
              </w:rPr>
              <w:t>标准值</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b/>
                <w:color w:val="000000"/>
                <w:sz w:val="20"/>
                <w:szCs w:val="20"/>
              </w:rPr>
            </w:pPr>
            <w:r>
              <w:rPr>
                <w:rFonts w:hint="eastAsia" w:ascii="方正仿宋_GBK" w:hAnsi="方正仿宋_GBK" w:eastAsia="方正仿宋_GBK" w:cs="方正仿宋_GBK"/>
                <w:b/>
                <w:color w:val="000000"/>
                <w:kern w:val="0"/>
                <w:sz w:val="20"/>
                <w:szCs w:val="20"/>
              </w:rPr>
              <w:t>评分标准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b/>
                <w:color w:val="000000"/>
                <w:sz w:val="20"/>
                <w:szCs w:val="20"/>
              </w:rPr>
            </w:pPr>
            <w:r>
              <w:rPr>
                <w:rFonts w:hint="eastAsia" w:ascii="方正仿宋_GBK" w:hAnsi="方正仿宋_GBK" w:eastAsia="方正仿宋_GBK" w:cs="方正仿宋_GBK"/>
                <w:b/>
                <w:color w:val="000000"/>
                <w:kern w:val="0"/>
                <w:sz w:val="20"/>
                <w:szCs w:val="20"/>
              </w:rPr>
              <w:t>评分过程</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b/>
                <w:color w:val="000000"/>
                <w:sz w:val="20"/>
                <w:szCs w:val="20"/>
              </w:rPr>
            </w:pPr>
            <w:r>
              <w:rPr>
                <w:rFonts w:hint="eastAsia" w:ascii="方正仿宋_GBK" w:hAnsi="方正仿宋_GBK" w:eastAsia="方正仿宋_GBK" w:cs="方正仿宋_GBK"/>
                <w:b/>
                <w:color w:val="000000"/>
                <w:kern w:val="0"/>
                <w:sz w:val="20"/>
                <w:szCs w:val="20"/>
              </w:rPr>
              <w:t>权重</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b/>
                <w:color w:val="000000"/>
                <w:sz w:val="20"/>
                <w:szCs w:val="20"/>
              </w:rPr>
            </w:pPr>
            <w:r>
              <w:rPr>
                <w:rFonts w:hint="eastAsia" w:ascii="方正仿宋_GBK" w:hAnsi="方正仿宋_GBK" w:eastAsia="方正仿宋_GBK" w:cs="方正仿宋_GBK"/>
                <w:b/>
                <w:color w:val="000000"/>
                <w:kern w:val="0"/>
                <w:sz w:val="20"/>
                <w:szCs w:val="20"/>
              </w:rPr>
              <w:t>得分</w:t>
            </w:r>
          </w:p>
        </w:tc>
      </w:tr>
      <w:tr>
        <w:tblPrEx>
          <w:tblLayout w:type="fixed"/>
          <w:tblCellMar>
            <w:top w:w="0" w:type="dxa"/>
            <w:left w:w="0" w:type="dxa"/>
            <w:bottom w:w="0" w:type="dxa"/>
            <w:right w:w="0" w:type="dxa"/>
          </w:tblCellMar>
        </w:tblPrEx>
        <w:trPr>
          <w:trHeight w:val="540" w:hRule="atLeast"/>
        </w:trPr>
        <w:tc>
          <w:tcPr>
            <w:tcW w:w="112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决策</w:t>
            </w:r>
          </w:p>
        </w:tc>
        <w:tc>
          <w:tcPr>
            <w:tcW w:w="3540"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计划制定</w:t>
            </w: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中长期规划制定健全性</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健全</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单位中长期规划是否明确（1分），科学（1分）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单位中长期规划明确、科学，得2分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工作计划制定健全性</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健全</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单位年度工作计划的制定是否明确（1分），科学（1分）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已制定科学明确的年度工作计划，有年度工作要点，得2分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81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目标设定</w:t>
            </w: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绩效目标合理性</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合理</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绩效目标与实际工作内容是否具有相关性（1分），绩效目标是否合理。（1分）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绩效目标与实际工作内容相关，设置合理，得2分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81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绩效指标明确性</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明确</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是否细化分解为具体明确的（1分），指标值是否清晰、可衡量（1分）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绩效指标明确，部分指标不够清晰，扣1分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w:t>
            </w:r>
          </w:p>
        </w:tc>
      </w:tr>
      <w:tr>
        <w:tblPrEx>
          <w:tblLayout w:type="fixed"/>
          <w:tblCellMar>
            <w:top w:w="0" w:type="dxa"/>
            <w:left w:w="0" w:type="dxa"/>
            <w:bottom w:w="0" w:type="dxa"/>
            <w:right w:w="0" w:type="dxa"/>
          </w:tblCellMar>
        </w:tblPrEx>
        <w:trPr>
          <w:trHeight w:val="81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预算编制</w:t>
            </w: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预算编制科学性</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科学</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预算编制是否经过科学论证（1分），预算额度测算依据是否充分，是否按照标准编制（1分）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预算编制,经过科学论证，预算额度测算依据充分，按照标准编制，得2分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81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预算编制规范性</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规范</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项目是否按照程序规范申请设立（1分），事前是否已经过必要的可行性研究、评估（1分）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项目按照程序规范设立，事前已经过必要的可行性研究、评估，得2分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过程</w:t>
            </w:r>
          </w:p>
        </w:tc>
        <w:tc>
          <w:tcPr>
            <w:tcW w:w="3540"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预算执行</w:t>
            </w: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预算调整率</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＝0%</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预算过程中是否中途变更调整，调整手续是否完备合规（2分）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预算过程中未申请变更调整，得2分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支付进度符合率</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＝100%</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是否符合预算批复或合同规定的用途（2分）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支付中不存在截留、挤占、挪用等情况，得2分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预算执行率</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＝100%</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单位预算支出的预算执行情况（3分）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按单位预算实际执行率计算，未执行完毕，扣1分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3</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结转结余率</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＝0%</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未执行完毕的财政拨款是否结转下年（2分）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未执行完毕的财政拨款均由财政收回，得2分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公用经费控制率</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≤100%</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单位对公用经费的控制程度（预、决算比率≦100%，2分）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公用经费，控制在标准范围内，得2分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“三公经费”变动率</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≤0%</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单位“三公经费”变动情况，若不变动则不扣分（2分）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“三公经费”未变动，得2分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政府采购执行率</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＝100%</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纳入政府采购的资金能否按时执行（2分）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政府采购资金按时执行完毕，得2分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非税收入预算完成率</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≥100%</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非税收入能否完成预算目标（2分）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非税收入完成预算目标，得2分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预算管理</w:t>
            </w: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预算管理制度健全性</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健全</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单位是否建立有健全完备的预算管理制度（3分）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建立完善健全的预算管理制度，得3分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3</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3</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资金使用合规性</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合规</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是否严格按照制度执行资金管理各项工作。（3分）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严格按照制度执行资金管理，资金使用合规，得3分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3</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3</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绩效管理覆盖率</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＝100%</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单位预算绩效管理是否全覆盖（2分）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本单位预算绩效管理已全覆盖，得2分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基础信息完善性</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完善</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预算管理基础信息是否完善（2分）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本单位预算管理基础信息完善，得2分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81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预决算信息公开度</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公开</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预决算是否在“双平台”进行公开（1分），内容和时限是否符合要求（2分）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预决算工作已按规定及时进行公开，得3分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3</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3</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非税收入管理合规性</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合规</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本单位非税收入管理是否合规（2分）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本单位非税收入管理合规，得2分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资产管理</w:t>
            </w: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资产管理制度健全性</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健全</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单位是否建立有健全完备的资产管理制度（3分）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建立完善健全的资产管理制度，得3分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3</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3</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资产管理规范性</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规范</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单位资产管理制度执行是否规范、有效（3分）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单位资产管理制度执行规范、有效，得3分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3</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3</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固定资产利用率</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＝100%</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固定资产是否完全利用，未闲置（2分）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本单位固定资产定期盘点，充分利用，无闲置资产，得2分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项目管理</w:t>
            </w: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项目管理制度健全性</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健全</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单位是否建立有健全完备的项目管理制度（3分）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建立完善健全的项目管理制度，得3分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3</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3</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项目管理制度执行规范性</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规范</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单位项目管理制度执行是否规范、有效（3分）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单位项目管理制度执行规范、有效，得3分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3</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3</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人员管理</w:t>
            </w: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人员管理制度健全性</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健全</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单位是否建立有健全完备的人事管理制度（2分）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建立完善健全的人事管理制度，得2分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人员管理制度执行有效性</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有效</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单位人员管理制度执行是否规范、有效（2分）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单位人员管理制度执行规范、有效，得2分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在职人员控制率</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＝100%</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单位在职人数与核编人数是否匹配（2分）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单位在职人数与核编人数匹配，得2分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机构建设</w:t>
            </w: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组织建设工作及时完成率</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＝100%</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组织建设工作是否及时完成（2分）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组织建设工作能够及时完成，得2分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业务学习与培训及时完成率</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＝100%</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业务学习与培训是否及时完成（2分）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业务学习与培训及时完成率，得2分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540" w:hRule="atLeast"/>
        </w:trPr>
        <w:tc>
          <w:tcPr>
            <w:tcW w:w="11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354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_GBK" w:hAnsi="方正仿宋_GBK" w:eastAsia="方正仿宋_GBK" w:cs="方正仿宋_GBK"/>
                <w:color w:val="000000"/>
                <w:sz w:val="20"/>
                <w:szCs w:val="20"/>
              </w:rPr>
            </w:pP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纪检监察工作有效性</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有效</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本单位纪检监察工作是否有效（2分）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本单位纪检监察工作高效有序进行，得2分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2</w:t>
            </w:r>
          </w:p>
        </w:tc>
      </w:tr>
      <w:tr>
        <w:tblPrEx>
          <w:tblLayout w:type="fixed"/>
          <w:tblCellMar>
            <w:top w:w="0" w:type="dxa"/>
            <w:left w:w="0" w:type="dxa"/>
            <w:bottom w:w="0" w:type="dxa"/>
            <w:right w:w="0" w:type="dxa"/>
          </w:tblCellMar>
        </w:tblPrEx>
        <w:trPr>
          <w:trHeight w:val="1890" w:hRule="atLeast"/>
        </w:trPr>
        <w:tc>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履职</w:t>
            </w:r>
          </w:p>
        </w:tc>
        <w:tc>
          <w:tcPr>
            <w:tcW w:w="1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主战全市治安管理和犯罪打击</w:t>
            </w:r>
          </w:p>
        </w:tc>
        <w:tc>
          <w:tcPr>
            <w:tcW w:w="22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积极为建设“强富美高”新南京创造良好社会治安环境。</w:t>
            </w: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打击违法犯罪满意度</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满意</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本单位有无创造良好社会治安环境，党政机关对本单位打击违法犯罪的满意情况（10分）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本单位以维护南京社会治安为目标，严厉打击各类违法犯罪行为，获得公安部领导和市领导的批示肯定，得10分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10</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10</w:t>
            </w:r>
          </w:p>
        </w:tc>
      </w:tr>
      <w:tr>
        <w:tblPrEx>
          <w:tblLayout w:type="fixed"/>
          <w:tblCellMar>
            <w:top w:w="0" w:type="dxa"/>
            <w:left w:w="0" w:type="dxa"/>
            <w:bottom w:w="0" w:type="dxa"/>
            <w:right w:w="0" w:type="dxa"/>
          </w:tblCellMar>
        </w:tblPrEx>
        <w:trPr>
          <w:trHeight w:val="1080" w:hRule="atLeast"/>
        </w:trPr>
        <w:tc>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效益指标</w:t>
            </w:r>
          </w:p>
        </w:tc>
        <w:tc>
          <w:tcPr>
            <w:tcW w:w="354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社会效益</w:t>
            </w: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持续推进“十大攻坚提升行动”，全力提升执法服务水平</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≥90%</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本单位在执法服务领域有无自我提升。（10分）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坚持以习近平新时代中国特色社会主义思想为指导，全力以赴防风险、保安全、推改革、促发展，人民群众安全感进一步提升，用忠诚和汗水交出了一份亮眼“成绩单”。得10分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10</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10</w:t>
            </w:r>
          </w:p>
        </w:tc>
      </w:tr>
      <w:tr>
        <w:tblPrEx>
          <w:tblLayout w:type="fixed"/>
          <w:tblCellMar>
            <w:top w:w="0" w:type="dxa"/>
            <w:left w:w="0" w:type="dxa"/>
            <w:bottom w:w="0" w:type="dxa"/>
            <w:right w:w="0" w:type="dxa"/>
          </w:tblCellMar>
        </w:tblPrEx>
        <w:trPr>
          <w:trHeight w:val="1080" w:hRule="atLeast"/>
        </w:trPr>
        <w:tc>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满意度指标</w:t>
            </w:r>
          </w:p>
        </w:tc>
        <w:tc>
          <w:tcPr>
            <w:tcW w:w="354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服务对象满意度</w:t>
            </w:r>
          </w:p>
        </w:tc>
        <w:tc>
          <w:tcPr>
            <w:tcW w:w="29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打击违法犯罪满意度</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满意</w:t>
            </w:r>
          </w:p>
        </w:tc>
        <w:tc>
          <w:tcPr>
            <w:tcW w:w="33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党政机关事业单位、社会群体等对本单位打击违法犯罪的满意情况（10分）</w:t>
            </w:r>
          </w:p>
        </w:tc>
        <w:tc>
          <w:tcPr>
            <w:tcW w:w="2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有力打击违法犯罪行为，得到社会一致认可，得10分</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10</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10</w:t>
            </w:r>
          </w:p>
        </w:tc>
      </w:tr>
      <w:tr>
        <w:tblPrEx>
          <w:tblLayout w:type="fixed"/>
          <w:tblCellMar>
            <w:top w:w="0" w:type="dxa"/>
            <w:left w:w="0" w:type="dxa"/>
            <w:bottom w:w="0" w:type="dxa"/>
            <w:right w:w="0" w:type="dxa"/>
          </w:tblCellMar>
        </w:tblPrEx>
        <w:trPr>
          <w:trHeight w:val="270" w:hRule="atLeast"/>
        </w:trPr>
        <w:tc>
          <w:tcPr>
            <w:tcW w:w="14700"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合    计</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100</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98</w:t>
            </w:r>
          </w:p>
        </w:tc>
      </w:tr>
    </w:tbl>
    <w:p>
      <w:pPr>
        <w:widowControl/>
        <w:tabs>
          <w:tab w:val="left" w:pos="2418"/>
        </w:tabs>
        <w:jc w:val="left"/>
        <w:rPr>
          <w:rFonts w:ascii="方正小标宋简体" w:hAnsi="FZXBSK--GBK1-0" w:eastAsia="方正小标宋简体" w:cs="宋体"/>
          <w:color w:val="000000"/>
          <w:kern w:val="0"/>
          <w:sz w:val="36"/>
          <w:szCs w:val="36"/>
          <w:u w:val="single"/>
        </w:rPr>
      </w:pPr>
    </w:p>
    <w:p>
      <w:pPr>
        <w:tabs>
          <w:tab w:val="left" w:pos="8361"/>
        </w:tabs>
        <w:jc w:val="left"/>
      </w:pPr>
      <w:r>
        <w:rPr>
          <w:rFonts w:ascii="方正仿宋_GBK" w:hAnsi="宋体" w:eastAsia="方正仿宋_GBK"/>
          <w:sz w:val="32"/>
          <w:szCs w:val="32"/>
        </w:rPr>
        <w:br w:type="page"/>
      </w:r>
      <w:r>
        <w:rPr>
          <w:rFonts w:hint="eastAsia"/>
        </w:rPr>
        <w:tab/>
      </w:r>
    </w:p>
    <w:sectPr>
      <w:pgSz w:w="16838" w:h="11906" w:orient="landscape"/>
      <w:pgMar w:top="720" w:right="720" w:bottom="720" w:left="720" w:header="851" w:footer="567"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黑体">
    <w:panose1 w:val="02010600030101010101"/>
    <w:charset w:val="86"/>
    <w:family w:val="swiss"/>
    <w:pitch w:val="default"/>
    <w:sig w:usb0="800002BF" w:usb1="38CF7CFA" w:usb2="00000016" w:usb3="00000000" w:csb0="00040001" w:csb1="00000000"/>
  </w:font>
  <w:font w:name="仿宋">
    <w:panose1 w:val="02010609060101010101"/>
    <w:charset w:val="86"/>
    <w:family w:val="swiss"/>
    <w:pitch w:val="default"/>
    <w:sig w:usb0="800002BF" w:usb1="38CF7CFA" w:usb2="00000016" w:usb3="00000000" w:csb0="00040001" w:csb1="00000000"/>
  </w:font>
  <w:font w:name="仿宋_GB2312">
    <w:panose1 w:val="02010609030101010101"/>
    <w:charset w:val="86"/>
    <w:family w:val="swiss"/>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FZXBSK--GBK1-0">
    <w:altName w:val="宋体"/>
    <w:panose1 w:val="00000000000000000000"/>
    <w:charset w:val="86"/>
    <w:family w:val="auto"/>
    <w:pitch w:val="default"/>
    <w:sig w:usb0="00000000" w:usb1="00000000" w:usb2="00000010" w:usb3="00000000" w:csb0="00040000" w:csb1="00000000"/>
  </w:font>
  <w:font w:name="FZKTK--GBK1-0">
    <w:altName w:val="Times New Roman"/>
    <w:panose1 w:val="00000000000000000000"/>
    <w:charset w:val="00"/>
    <w:family w:val="auto"/>
    <w:pitch w:val="default"/>
    <w:sig w:usb0="00000000" w:usb1="00000000" w:usb2="00000000" w:usb3="00000000" w:csb0="00040001"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FZHTK--GBK1-0">
    <w:altName w:val="Times New Roman"/>
    <w:panose1 w:val="00000000000000000000"/>
    <w:charset w:val="00"/>
    <w:family w:val="auto"/>
    <w:pitch w:val="default"/>
    <w:sig w:usb0="00000000" w:usb1="00000000" w:usb2="00000000" w:usb3="00000000" w:csb0="00040001" w:csb1="00000000"/>
  </w:font>
  <w:font w:name="方正小标宋简体">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7"/>
      <w:jc w:val="center"/>
      <w:rPr>
        <w:rFonts w:ascii="方正仿宋_GBK" w:eastAsia="方正仿宋_GBK"/>
        <w:sz w:val="21"/>
        <w:szCs w:val="21"/>
      </w:rPr>
    </w:pPr>
    <w:r>
      <w:rPr>
        <w:rFonts w:hint="eastAsia" w:ascii="方正仿宋_GBK" w:eastAsia="方正仿宋_GBK"/>
        <w:sz w:val="21"/>
        <w:szCs w:val="21"/>
      </w:rPr>
      <w:fldChar w:fldCharType="begin"/>
    </w:r>
    <w:r>
      <w:rPr>
        <w:rFonts w:hint="eastAsia" w:ascii="方正仿宋_GBK" w:eastAsia="方正仿宋_GBK"/>
        <w:sz w:val="21"/>
        <w:szCs w:val="21"/>
      </w:rPr>
      <w:instrText xml:space="preserve"> PAGE   \* MERGEFORMAT </w:instrText>
    </w:r>
    <w:r>
      <w:rPr>
        <w:rFonts w:hint="eastAsia" w:ascii="方正仿宋_GBK" w:eastAsia="方正仿宋_GBK"/>
        <w:sz w:val="21"/>
        <w:szCs w:val="21"/>
      </w:rPr>
      <w:fldChar w:fldCharType="separate"/>
    </w:r>
    <w:r>
      <w:rPr>
        <w:rFonts w:ascii="方正仿宋_GBK" w:eastAsia="方正仿宋_GBK"/>
        <w:sz w:val="21"/>
        <w:szCs w:val="21"/>
        <w:lang w:val="zh-CN"/>
      </w:rPr>
      <w:t>5</w:t>
    </w:r>
    <w:r>
      <w:rPr>
        <w:rFonts w:hint="eastAsia" w:ascii="方正仿宋_GBK" w:eastAsia="方正仿宋_GBK"/>
        <w:sz w:val="21"/>
        <w:szCs w:val="21"/>
      </w:rP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780045063">
    <w:nsid w:val="6A195507"/>
    <w:multiLevelType w:val="singleLevel"/>
    <w:tmpl w:val="6A195507"/>
    <w:lvl w:ilvl="0" w:tentative="1">
      <w:start w:val="2"/>
      <w:numFmt w:val="decimal"/>
      <w:suff w:val="nothing"/>
      <w:lvlText w:val="%1、"/>
      <w:lvlJc w:val="left"/>
    </w:lvl>
  </w:abstractNum>
  <w:num w:numId="1">
    <w:abstractNumId w:val="17800450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13043"/>
    <w:rsid w:val="00282FB2"/>
    <w:rsid w:val="003008FD"/>
    <w:rsid w:val="00413043"/>
    <w:rsid w:val="0043157D"/>
    <w:rsid w:val="004F7286"/>
    <w:rsid w:val="007E3679"/>
    <w:rsid w:val="00AB660E"/>
    <w:rsid w:val="00C12C72"/>
    <w:rsid w:val="00E70307"/>
    <w:rsid w:val="00FC1B75"/>
    <w:rsid w:val="00FC7A6C"/>
    <w:rsid w:val="123A54D5"/>
    <w:rsid w:val="4AA9159A"/>
    <w:rsid w:val="5D8D1359"/>
  </w:rsid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uiPriority="0" w:name="annotation text"/>
    <w:lsdException w:qFormat="1" w:uiPriority="99"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10">
    <w:name w:val="Default Paragraph Font"/>
    <w:unhideWhenUsed/>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Normal Indent"/>
    <w:basedOn w:val="1"/>
    <w:qFormat/>
    <w:uiPriority w:val="0"/>
    <w:pPr>
      <w:ind w:firstLine="200" w:firstLineChars="200"/>
    </w:pPr>
  </w:style>
  <w:style w:type="paragraph" w:styleId="5">
    <w:name w:val="Body Text"/>
    <w:basedOn w:val="1"/>
    <w:link w:val="20"/>
    <w:unhideWhenUsed/>
    <w:qFormat/>
    <w:uiPriority w:val="99"/>
    <w:pPr>
      <w:spacing w:after="120"/>
    </w:pPr>
    <w:rPr>
      <w:rFonts w:cs="Times New Roman"/>
    </w:rPr>
  </w:style>
  <w:style w:type="paragraph" w:styleId="6">
    <w:name w:val="Balloon Text"/>
    <w:basedOn w:val="1"/>
    <w:link w:val="19"/>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11">
    <w:name w:val="Strong"/>
    <w:basedOn w:val="10"/>
    <w:qFormat/>
    <w:uiPriority w:val="22"/>
    <w:rPr>
      <w:b/>
    </w:rPr>
  </w:style>
  <w:style w:type="paragraph" w:customStyle="1" w:styleId="13">
    <w:name w:val="列出段落1"/>
    <w:basedOn w:val="1"/>
    <w:qFormat/>
    <w:uiPriority w:val="34"/>
    <w:pPr>
      <w:ind w:firstLine="420" w:firstLineChars="200"/>
    </w:pPr>
  </w:style>
  <w:style w:type="paragraph" w:customStyle="1" w:styleId="14">
    <w:name w:val="p12"/>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5">
    <w:name w:val="页眉 Char"/>
    <w:basedOn w:val="10"/>
    <w:link w:val="8"/>
    <w:semiHidden/>
    <w:qFormat/>
    <w:uiPriority w:val="99"/>
    <w:rPr>
      <w:sz w:val="18"/>
      <w:szCs w:val="18"/>
    </w:rPr>
  </w:style>
  <w:style w:type="character" w:customStyle="1" w:styleId="16">
    <w:name w:val="页脚 Char"/>
    <w:basedOn w:val="10"/>
    <w:link w:val="7"/>
    <w:qFormat/>
    <w:uiPriority w:val="99"/>
    <w:rPr>
      <w:sz w:val="18"/>
      <w:szCs w:val="18"/>
    </w:rPr>
  </w:style>
  <w:style w:type="character" w:customStyle="1" w:styleId="17">
    <w:name w:val="s1"/>
    <w:basedOn w:val="10"/>
    <w:qFormat/>
    <w:uiPriority w:val="0"/>
  </w:style>
  <w:style w:type="character" w:customStyle="1" w:styleId="18">
    <w:name w:val="占位符文本1"/>
    <w:basedOn w:val="10"/>
    <w:semiHidden/>
    <w:qFormat/>
    <w:uiPriority w:val="99"/>
    <w:rPr>
      <w:color w:val="808080"/>
    </w:rPr>
  </w:style>
  <w:style w:type="character" w:customStyle="1" w:styleId="19">
    <w:name w:val="批注框文本 Char"/>
    <w:basedOn w:val="10"/>
    <w:link w:val="6"/>
    <w:semiHidden/>
    <w:qFormat/>
    <w:uiPriority w:val="99"/>
    <w:rPr>
      <w:sz w:val="18"/>
      <w:szCs w:val="18"/>
    </w:rPr>
  </w:style>
  <w:style w:type="character" w:customStyle="1" w:styleId="20">
    <w:name w:val="正文文本 Char"/>
    <w:basedOn w:val="10"/>
    <w:link w:val="5"/>
    <w:qFormat/>
    <w:uiPriority w:val="99"/>
    <w:rPr>
      <w:rFonts w:ascii="Calibri" w:hAnsi="Calibri"/>
      <w:kern w:val="2"/>
      <w:sz w:val="21"/>
      <w:szCs w:val="22"/>
    </w:rPr>
  </w:style>
  <w:style w:type="character" w:customStyle="1" w:styleId="21">
    <w:name w:val="南京正文 字符"/>
    <w:link w:val="22"/>
    <w:qFormat/>
    <w:uiPriority w:val="0"/>
    <w:rPr>
      <w:rFonts w:eastAsia="仿宋"/>
      <w:sz w:val="32"/>
      <w:szCs w:val="28"/>
      <w:lang w:val="zh-CN" w:eastAsia="en-US" w:bidi="en-US"/>
    </w:rPr>
  </w:style>
  <w:style w:type="paragraph" w:customStyle="1" w:styleId="22">
    <w:name w:val="南京正文"/>
    <w:basedOn w:val="1"/>
    <w:link w:val="21"/>
    <w:qFormat/>
    <w:uiPriority w:val="0"/>
    <w:pPr>
      <w:widowControl/>
      <w:spacing w:after="200" w:line="560" w:lineRule="exact"/>
      <w:ind w:firstLine="200" w:firstLineChars="200"/>
      <w:jc w:val="left"/>
    </w:pPr>
    <w:rPr>
      <w:rFonts w:ascii="Times New Roman" w:hAnsi="Times New Roman" w:eastAsia="仿宋" w:cs="Times New Roman"/>
      <w:kern w:val="0"/>
      <w:sz w:val="32"/>
      <w:szCs w:val="28"/>
      <w:lang w:val="zh-CN" w:eastAsia="en-US" w:bidi="en-US"/>
    </w:rPr>
  </w:style>
  <w:style w:type="paragraph" w:customStyle="1" w:styleId="23">
    <w:name w:val="正文标准1"/>
    <w:basedOn w:val="1"/>
    <w:next w:val="1"/>
    <w:qFormat/>
    <w:uiPriority w:val="99"/>
    <w:pPr>
      <w:adjustRightInd w:val="0"/>
      <w:snapToGrid w:val="0"/>
      <w:spacing w:line="560" w:lineRule="exact"/>
      <w:ind w:firstLine="640" w:firstLineChars="200"/>
    </w:pPr>
    <w:rPr>
      <w:rFonts w:ascii="Times New Roman" w:hAnsi="Times New Roman" w:eastAsia="仿宋_GB2312" w:cs="Times New Roman"/>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1094</Words>
  <Characters>6241</Characters>
  <Lines>52</Lines>
  <Paragraphs>14</Paragraphs>
  <TotalTime>0</TotalTime>
  <ScaleCrop>false</ScaleCrop>
  <LinksUpToDate>false</LinksUpToDate>
  <CharactersWithSpaces>7321</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2023-09-11T07:36:00Z</dcterms:created>
  <dc:creator>管洪涛</dc:creator>
  <cp:lastModifiedBy>Administrator</cp:lastModifiedBy>
  <cp:lastPrinted>2020-07-21T02:56:00Z</cp:lastPrinted>
  <dcterms:modified xsi:type="dcterms:W3CDTF">2026-10-19T01:36:37Z</dcterms:modified>
  <dc:title>南京市公安局（机关）整体绩效评价报告</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y fmtid="{D5CDD505-2E9C-101B-9397-08002B2CF9AE}" pid="3" name="ICV">
    <vt:lpwstr>6F9195ADEADA489C8912192A2D8020B6</vt:lpwstr>
  </property>
</Properties>
</file>