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方正小标宋_GBK" w:hAnsi="方正小标宋_GBK" w:eastAsia="方正小标宋_GBK" w:cs="方正小标宋_GBK"/>
          <w:kern w:val="0"/>
          <w:sz w:val="44"/>
          <w:szCs w:val="44"/>
          <w:lang w:val="en-US" w:eastAsia="zh-CN"/>
        </w:rPr>
      </w:pPr>
      <w:r>
        <w:rPr>
          <w:rFonts w:hint="eastAsia" w:ascii="方正小标宋_GBK" w:hAnsi="方正小标宋_GBK" w:eastAsia="方正小标宋_GBK" w:cs="方正小标宋_GBK"/>
          <w:kern w:val="0"/>
          <w:sz w:val="44"/>
          <w:szCs w:val="44"/>
        </w:rPr>
        <w:t>202</w:t>
      </w:r>
      <w:r>
        <w:rPr>
          <w:rFonts w:hint="eastAsia" w:ascii="方正小标宋_GBK" w:hAnsi="方正小标宋_GBK" w:eastAsia="方正小标宋_GBK" w:cs="方正小标宋_GBK"/>
          <w:kern w:val="0"/>
          <w:sz w:val="44"/>
          <w:szCs w:val="44"/>
          <w:lang w:val="en-US" w:eastAsia="zh-CN"/>
        </w:rPr>
        <w:t>5</w:t>
      </w:r>
      <w:r>
        <w:rPr>
          <w:rFonts w:hint="eastAsia" w:ascii="方正小标宋_GBK" w:hAnsi="方正小标宋_GBK" w:eastAsia="方正小标宋_GBK" w:cs="方正小标宋_GBK"/>
          <w:kern w:val="0"/>
          <w:sz w:val="44"/>
          <w:szCs w:val="44"/>
        </w:rPr>
        <w:t>年度南京市公安局地铁分局</w:t>
      </w:r>
    </w:p>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部门整体绩效评价报告</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仿宋" w:cs="宋体"/>
          <w:b/>
          <w:bCs/>
          <w:kern w:val="0"/>
          <w:sz w:val="32"/>
          <w:szCs w:val="32"/>
        </w:rPr>
      </w:pPr>
      <w:r>
        <w:rPr>
          <w:rFonts w:ascii="Times New Roman" w:hAnsi="Times New Roman" w:eastAsia="方正黑体_GBK" w:cs="Times New Roman"/>
          <w:color w:val="000000"/>
          <w:kern w:val="0"/>
          <w:sz w:val="32"/>
          <w:szCs w:val="32"/>
        </w:rPr>
        <w:t>一、部门概况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楷体_GBK" w:hAnsi="方正楷体_GBK" w:eastAsia="方正楷体_GBK" w:cs="方正楷体_GBK"/>
          <w:bCs/>
          <w:color w:val="000000"/>
          <w:sz w:val="32"/>
          <w:szCs w:val="32"/>
        </w:rPr>
      </w:pPr>
      <w:bookmarkStart w:id="0" w:name="_Toc178059776"/>
      <w:r>
        <w:rPr>
          <w:rFonts w:hint="eastAsia" w:ascii="方正楷体_GBK" w:hAnsi="方正楷体_GBK" w:eastAsia="方正楷体_GBK" w:cs="方正楷体_GBK"/>
          <w:bCs/>
          <w:color w:val="000000"/>
          <w:sz w:val="32"/>
          <w:szCs w:val="32"/>
        </w:rPr>
        <w:t>（一）部门（单位）基本情况</w:t>
      </w:r>
      <w:bookmarkEnd w:id="0"/>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仿宋"/>
          <w:sz w:val="32"/>
          <w:szCs w:val="32"/>
        </w:rPr>
      </w:pPr>
      <w:r>
        <w:rPr>
          <w:rFonts w:hint="eastAsia" w:ascii="Times New Roman" w:hAnsi="Times New Roman" w:eastAsia="方正仿宋_GBK" w:cs="仿宋"/>
          <w:sz w:val="32"/>
          <w:szCs w:val="32"/>
        </w:rPr>
        <w:t>南京市公安局地铁分局于2004年8月份正式成立。</w:t>
      </w:r>
    </w:p>
    <w:p>
      <w:pPr>
        <w:spacing w:line="600" w:lineRule="exact"/>
        <w:ind w:firstLine="640" w:firstLineChars="200"/>
        <w:rPr>
          <w:rFonts w:hint="eastAsia" w:ascii="Times New Roman" w:hAnsi="Times New Roman" w:eastAsia="方正仿宋_GBK" w:cs="方正仿宋简体"/>
          <w:bCs/>
          <w:color w:val="000000"/>
          <w:sz w:val="32"/>
          <w:szCs w:val="32"/>
        </w:rPr>
      </w:pPr>
      <w:r>
        <w:rPr>
          <w:rFonts w:hint="default" w:ascii="Times New Roman" w:hAnsi="Times New Roman" w:eastAsia="方正仿宋_GBK" w:cs="Times New Roman"/>
          <w:color w:val="000000"/>
          <w:sz w:val="32"/>
          <w:szCs w:val="32"/>
        </w:rPr>
        <w:t>1</w:t>
      </w:r>
      <w:r>
        <w:rPr>
          <w:rFonts w:hint="eastAsia" w:ascii="Times New Roman" w:hAnsi="Times New Roman" w:eastAsia="方正仿宋_GBK" w:cs="方正仿宋简体"/>
          <w:color w:val="000000"/>
          <w:sz w:val="32"/>
          <w:szCs w:val="32"/>
        </w:rPr>
        <w:t>．</w:t>
      </w:r>
      <w:r>
        <w:rPr>
          <w:rFonts w:hint="eastAsia" w:ascii="Times New Roman" w:hAnsi="Times New Roman" w:eastAsia="方正仿宋_GBK" w:cs="方正仿宋简体"/>
          <w:bCs/>
          <w:color w:val="000000"/>
          <w:sz w:val="32"/>
          <w:szCs w:val="32"/>
        </w:rPr>
        <w:t>部门(单位)职能</w:t>
      </w:r>
    </w:p>
    <w:p>
      <w:pPr>
        <w:spacing w:line="560" w:lineRule="exact"/>
        <w:ind w:firstLine="640" w:firstLineChars="200"/>
        <w:rPr>
          <w:rFonts w:ascii="Times New Roman" w:hAnsi="Times New Roman" w:eastAsia="方正仿宋_GBK" w:cs="仿宋"/>
          <w:sz w:val="32"/>
          <w:szCs w:val="32"/>
        </w:rPr>
      </w:pPr>
      <w:r>
        <w:rPr>
          <w:rFonts w:hint="eastAsia" w:ascii="Times New Roman" w:hAnsi="Times New Roman" w:eastAsia="方正仿宋_GBK" w:cs="仿宋"/>
          <w:sz w:val="32"/>
          <w:szCs w:val="32"/>
        </w:rPr>
        <w:t>分局全面负责全市已投入运营的地铁区域的公安保卫工作，贯彻执行党和国家有关公安工作的方针、政策和法律、法规；掌握地铁区域影响稳定、危害国内安全和社会治安的情况，向上级部门及时提供相关重要信息，分析、研究对策并组织实施；负责公安民警队伍的管理、教育和训练工作；受理公民报警求助，依法预防、制止和侦查违法犯罪活动，处置重大案件、治安事故和骚乱，预防、打击恐怖活动；依法查处危害社会治安秩序行为，积极预防、妥善处置突发性事件、群体性事件，维护社会稳定，依法管理集会、游行、示威活动；负责由公安机关依法承担的执行刑罚工作；承办上级公安机关交办的其他事项。</w:t>
      </w:r>
    </w:p>
    <w:p>
      <w:pPr>
        <w:spacing w:line="560" w:lineRule="exact"/>
        <w:ind w:firstLine="640" w:firstLineChars="200"/>
        <w:rPr>
          <w:rFonts w:ascii="Times New Roman" w:hAnsi="Times New Roman" w:eastAsia="方正仿宋_GBK"/>
          <w:color w:val="000000"/>
          <w:kern w:val="0"/>
          <w:sz w:val="32"/>
          <w:szCs w:val="32"/>
        </w:rPr>
      </w:pPr>
      <w:r>
        <w:rPr>
          <w:rFonts w:hint="eastAsia" w:ascii="Times New Roman" w:hAnsi="Times New Roman" w:eastAsia="方正仿宋_GBK"/>
          <w:color w:val="000000"/>
          <w:sz w:val="32"/>
          <w:szCs w:val="32"/>
        </w:rPr>
        <w:t>2</w:t>
      </w:r>
      <w:r>
        <w:rPr>
          <w:rFonts w:ascii="Times New Roman" w:hAnsi="Times New Roman" w:eastAsia="方正仿宋_GBK"/>
          <w:color w:val="000000"/>
          <w:sz w:val="32"/>
          <w:szCs w:val="32"/>
        </w:rPr>
        <w:t>．</w:t>
      </w:r>
      <w:r>
        <w:rPr>
          <w:rFonts w:ascii="Times New Roman" w:hAnsi="Times New Roman" w:eastAsia="方正仿宋_GBK"/>
          <w:color w:val="000000"/>
          <w:kern w:val="0"/>
          <w:sz w:val="32"/>
          <w:szCs w:val="32"/>
        </w:rPr>
        <w:t>机构设置</w:t>
      </w:r>
    </w:p>
    <w:p>
      <w:pPr>
        <w:spacing w:line="560" w:lineRule="exact"/>
        <w:ind w:firstLine="640" w:firstLineChars="200"/>
        <w:rPr>
          <w:rFonts w:hint="eastAsia" w:ascii="Times New Roman" w:hAnsi="Times New Roman" w:eastAsia="方正仿宋_GBK" w:cs="仿宋"/>
          <w:sz w:val="32"/>
          <w:szCs w:val="32"/>
        </w:rPr>
      </w:pPr>
      <w:r>
        <w:rPr>
          <w:rFonts w:hint="eastAsia" w:ascii="Times New Roman" w:hAnsi="Times New Roman" w:eastAsia="方正仿宋_GBK" w:cs="仿宋"/>
          <w:sz w:val="32"/>
          <w:szCs w:val="32"/>
        </w:rPr>
        <w:t>内设机构包括派出所15个（南京南站派出所、新街口站派出所、城西路站派出所、大厂东站派出所、高淳站派出所、禄口新城站派出所、秣周路站派出所、南京站派出所、天保站派出所、仙林湖站派出所、孝陵卫站派出所、玄武门站派出所、中和村站派出所、汤山站派出所、晓庄站派出所）；直属大队4个（特巡警大队、反恐大队、治安大队、刑警大队）；机关科室4个（政治处、纪检监督室、指挥室、警务保障室）。</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方正仿宋简体"/>
          <w:b w:val="0"/>
          <w:bCs w:val="0"/>
          <w:color w:val="000000"/>
          <w:kern w:val="0"/>
          <w:sz w:val="32"/>
          <w:szCs w:val="32"/>
        </w:rPr>
      </w:pPr>
      <w:r>
        <w:rPr>
          <w:rFonts w:hint="eastAsia" w:ascii="Times New Roman" w:hAnsi="Times New Roman" w:eastAsia="方正仿宋_GBK" w:cs="方正仿宋简体"/>
          <w:b w:val="0"/>
          <w:bCs w:val="0"/>
          <w:color w:val="000000"/>
          <w:kern w:val="0"/>
          <w:sz w:val="32"/>
          <w:szCs w:val="32"/>
        </w:rPr>
        <w:t>人员配置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简体"/>
          <w:b w:val="0"/>
          <w:bCs w:val="0"/>
          <w:color w:val="000000"/>
          <w:kern w:val="0"/>
          <w:sz w:val="32"/>
          <w:szCs w:val="32"/>
        </w:rPr>
      </w:pPr>
      <w:r>
        <w:rPr>
          <w:rFonts w:hint="eastAsia" w:ascii="Times New Roman" w:hAnsi="Times New Roman" w:eastAsia="方正仿宋_GBK" w:cs="仿宋"/>
          <w:sz w:val="32"/>
          <w:szCs w:val="32"/>
        </w:rPr>
        <w:t>截至</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eastAsia" w:ascii="Times New Roman" w:hAnsi="Times New Roman" w:eastAsia="方正仿宋_GBK" w:cs="仿宋"/>
          <w:sz w:val="32"/>
          <w:szCs w:val="32"/>
        </w:rPr>
        <w:t>年</w:t>
      </w:r>
      <w:r>
        <w:rPr>
          <w:rFonts w:hint="default" w:ascii="Times New Roman" w:hAnsi="Times New Roman" w:eastAsia="方正仿宋_GBK" w:cs="Times New Roman"/>
          <w:sz w:val="32"/>
          <w:szCs w:val="32"/>
          <w:lang w:val="en-US" w:eastAsia="zh-CN"/>
        </w:rPr>
        <w:t>12</w:t>
      </w:r>
      <w:r>
        <w:rPr>
          <w:rFonts w:hint="eastAsia" w:ascii="Times New Roman" w:hAnsi="Times New Roman" w:eastAsia="方正仿宋_GBK" w:cs="仿宋"/>
          <w:sz w:val="32"/>
          <w:szCs w:val="32"/>
          <w:lang w:val="en-US" w:eastAsia="zh-CN"/>
        </w:rPr>
        <w:t>月</w:t>
      </w:r>
      <w:r>
        <w:rPr>
          <w:rFonts w:hint="eastAsia" w:ascii="Times New Roman" w:hAnsi="Times New Roman" w:eastAsia="方正仿宋_GBK" w:cs="仿宋"/>
          <w:sz w:val="32"/>
          <w:szCs w:val="32"/>
        </w:rPr>
        <w:t>，南京市公安局地铁分局实有在职人员</w:t>
      </w:r>
      <w:r>
        <w:rPr>
          <w:rFonts w:hint="eastAsia" w:ascii="Times New Roman" w:hAnsi="Times New Roman" w:eastAsia="方正仿宋_GBK" w:cs="Times New Roman"/>
          <w:sz w:val="32"/>
          <w:szCs w:val="32"/>
          <w:lang w:val="en-US" w:eastAsia="zh-CN"/>
        </w:rPr>
        <w:t>517</w:t>
      </w:r>
      <w:r>
        <w:rPr>
          <w:rFonts w:hint="eastAsia" w:ascii="Times New Roman" w:hAnsi="Times New Roman" w:eastAsia="方正仿宋_GBK" w:cs="仿宋"/>
          <w:sz w:val="32"/>
          <w:szCs w:val="32"/>
        </w:rPr>
        <w:t>人，离退休人员</w:t>
      </w:r>
      <w:r>
        <w:rPr>
          <w:rFonts w:hint="default" w:ascii="Times New Roman" w:hAnsi="Times New Roman" w:eastAsia="方正仿宋_GBK" w:cs="Times New Roman"/>
          <w:sz w:val="32"/>
          <w:szCs w:val="32"/>
          <w:lang w:val="en-US" w:eastAsia="zh-CN"/>
        </w:rPr>
        <w:t>98</w:t>
      </w:r>
      <w:r>
        <w:rPr>
          <w:rFonts w:hint="eastAsia" w:ascii="Times New Roman" w:hAnsi="Times New Roman" w:eastAsia="方正仿宋_GBK" w:cs="仿宋"/>
          <w:sz w:val="32"/>
          <w:szCs w:val="32"/>
        </w:rPr>
        <w:t>人</w:t>
      </w:r>
      <w:r>
        <w:rPr>
          <w:rFonts w:hint="eastAsia" w:ascii="Times New Roman" w:hAnsi="Times New Roman" w:eastAsia="方正仿宋_GBK" w:cs="仿宋"/>
          <w:sz w:val="32"/>
          <w:szCs w:val="32"/>
          <w:lang w:eastAsia="zh-CN"/>
        </w:rPr>
        <w:t>，</w:t>
      </w:r>
      <w:r>
        <w:rPr>
          <w:rFonts w:hint="eastAsia" w:ascii="Times New Roman" w:hAnsi="Times New Roman" w:eastAsia="方正仿宋_GBK" w:cs="仿宋"/>
          <w:sz w:val="32"/>
          <w:szCs w:val="32"/>
        </w:rPr>
        <w:t>另有警务辅助人员</w:t>
      </w:r>
      <w:r>
        <w:rPr>
          <w:rFonts w:hint="eastAsia" w:ascii="Times New Roman" w:hAnsi="Times New Roman" w:eastAsia="方正仿宋_GBK" w:cs="仿宋"/>
          <w:sz w:val="32"/>
          <w:szCs w:val="32"/>
          <w:lang w:val="en-US" w:eastAsia="zh-CN"/>
        </w:rPr>
        <w:t>946</w:t>
      </w:r>
      <w:r>
        <w:rPr>
          <w:rFonts w:hint="eastAsia" w:ascii="Times New Roman" w:hAnsi="Times New Roman" w:eastAsia="方正仿宋_GBK" w:cs="仿宋"/>
          <w:sz w:val="32"/>
          <w:szCs w:val="32"/>
        </w:rPr>
        <w:t>人。公务用车编制数为3</w:t>
      </w:r>
      <w:r>
        <w:rPr>
          <w:rFonts w:hint="eastAsia" w:ascii="Times New Roman" w:hAnsi="Times New Roman" w:eastAsia="方正仿宋_GBK" w:cs="仿宋"/>
          <w:sz w:val="32"/>
          <w:szCs w:val="32"/>
          <w:lang w:val="en-US" w:eastAsia="zh-CN"/>
        </w:rPr>
        <w:t>5</w:t>
      </w:r>
      <w:r>
        <w:rPr>
          <w:rFonts w:hint="eastAsia" w:ascii="Times New Roman" w:hAnsi="Times New Roman" w:eastAsia="方正仿宋_GBK" w:cs="仿宋"/>
          <w:sz w:val="32"/>
          <w:szCs w:val="32"/>
        </w:rPr>
        <w:t>辆，实有车辆数为3</w:t>
      </w:r>
      <w:r>
        <w:rPr>
          <w:rFonts w:hint="eastAsia" w:ascii="Times New Roman" w:hAnsi="Times New Roman" w:eastAsia="方正仿宋_GBK" w:cs="仿宋"/>
          <w:sz w:val="32"/>
          <w:szCs w:val="32"/>
          <w:lang w:val="en-US" w:eastAsia="zh-CN"/>
        </w:rPr>
        <w:t>5</w:t>
      </w:r>
      <w:r>
        <w:rPr>
          <w:rFonts w:hint="eastAsia" w:ascii="Times New Roman" w:hAnsi="Times New Roman" w:eastAsia="方正仿宋_GBK" w:cs="仿宋"/>
          <w:sz w:val="32"/>
          <w:szCs w:val="32"/>
        </w:rPr>
        <w:t>辆。</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ascii="Times New Roman" w:hAnsi="Times New Roman" w:eastAsia="方正仿宋_GBK"/>
          <w:b w:val="0"/>
          <w:bCs w:val="0"/>
          <w:color w:val="000000"/>
          <w:kern w:val="0"/>
          <w:sz w:val="32"/>
          <w:szCs w:val="32"/>
        </w:rPr>
      </w:pPr>
      <w:r>
        <w:rPr>
          <w:rFonts w:ascii="Times New Roman" w:hAnsi="Times New Roman" w:eastAsia="方正仿宋_GBK"/>
          <w:b w:val="0"/>
          <w:bCs w:val="0"/>
          <w:color w:val="000000"/>
          <w:kern w:val="0"/>
          <w:sz w:val="32"/>
          <w:szCs w:val="32"/>
        </w:rPr>
        <w:t>部门资产</w:t>
      </w: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Times New Roman" w:hAnsi="Times New Roman" w:eastAsia="方正仿宋_GBK" w:cs="仿宋"/>
          <w:sz w:val="32"/>
          <w:szCs w:val="32"/>
        </w:rPr>
      </w:pPr>
      <w:r>
        <w:rPr>
          <w:rFonts w:ascii="Times New Roman" w:hAnsi="Times New Roman" w:eastAsia="方正仿宋_GBK" w:cs="Times New Roman"/>
          <w:sz w:val="32"/>
          <w:szCs w:val="32"/>
          <w:lang w:val="zh-CN"/>
        </w:rPr>
        <w:t>截至202</w:t>
      </w:r>
      <w:r>
        <w:rPr>
          <w:rFonts w:ascii="Times New Roman" w:hAnsi="Times New Roman" w:eastAsia="方正仿宋_GBK" w:cs="Times New Roman"/>
          <w:sz w:val="32"/>
          <w:szCs w:val="32"/>
        </w:rPr>
        <w:t>5</w:t>
      </w:r>
      <w:r>
        <w:rPr>
          <w:rFonts w:ascii="Times New Roman" w:hAnsi="Times New Roman" w:eastAsia="方正仿宋_GBK" w:cs="Times New Roman"/>
          <w:sz w:val="32"/>
          <w:szCs w:val="32"/>
          <w:lang w:val="zh-CN"/>
        </w:rPr>
        <w:t>年12月，</w:t>
      </w:r>
      <w:r>
        <w:rPr>
          <w:rFonts w:hint="eastAsia" w:ascii="Times New Roman" w:hAnsi="Times New Roman" w:eastAsia="方正仿宋_GBK" w:cs="仿宋"/>
          <w:sz w:val="32"/>
          <w:szCs w:val="32"/>
        </w:rPr>
        <w:t>南京市公安局地铁分局</w:t>
      </w:r>
      <w:r>
        <w:rPr>
          <w:rFonts w:ascii="Times New Roman" w:hAnsi="Times New Roman" w:eastAsia="方正仿宋_GBK" w:cs="Times New Roman"/>
          <w:sz w:val="32"/>
          <w:szCs w:val="32"/>
          <w:lang w:val="zh-CN"/>
        </w:rPr>
        <w:t>资产总额为</w:t>
      </w:r>
      <w:r>
        <w:rPr>
          <w:rFonts w:hint="eastAsia" w:ascii="Times New Roman" w:hAnsi="Times New Roman" w:eastAsia="方正仿宋_GBK" w:cs="Times New Roman"/>
          <w:sz w:val="32"/>
          <w:szCs w:val="32"/>
          <w:lang w:val="en-US" w:eastAsia="zh-CN"/>
        </w:rPr>
        <w:t>19097.12</w:t>
      </w:r>
      <w:r>
        <w:rPr>
          <w:rFonts w:ascii="Times New Roman" w:hAnsi="Times New Roman" w:eastAsia="方正仿宋_GBK" w:cs="Times New Roman"/>
          <w:sz w:val="32"/>
          <w:szCs w:val="32"/>
          <w:lang w:val="zh-CN"/>
        </w:rPr>
        <w:t>万元，其中流动资产</w:t>
      </w:r>
      <w:r>
        <w:rPr>
          <w:rFonts w:hint="eastAsia" w:ascii="Times New Roman" w:hAnsi="Times New Roman" w:eastAsia="方正仿宋_GBK" w:cs="Times New Roman"/>
          <w:sz w:val="32"/>
          <w:szCs w:val="32"/>
          <w:lang w:val="en-US" w:eastAsia="zh-CN"/>
        </w:rPr>
        <w:t>6379.06</w:t>
      </w:r>
      <w:r>
        <w:rPr>
          <w:rFonts w:ascii="Times New Roman" w:hAnsi="Times New Roman" w:eastAsia="方正仿宋_GBK" w:cs="Times New Roman"/>
          <w:sz w:val="32"/>
          <w:szCs w:val="32"/>
          <w:lang w:val="zh-CN"/>
        </w:rPr>
        <w:t>万元，非流动资产</w:t>
      </w:r>
      <w:r>
        <w:rPr>
          <w:rFonts w:hint="eastAsia" w:ascii="Times New Roman" w:hAnsi="Times New Roman" w:eastAsia="方正仿宋_GBK" w:cs="Times New Roman"/>
          <w:sz w:val="32"/>
          <w:szCs w:val="32"/>
          <w:lang w:val="en-US" w:eastAsia="zh-CN"/>
        </w:rPr>
        <w:t>12718.06</w:t>
      </w:r>
      <w:r>
        <w:rPr>
          <w:rFonts w:ascii="Times New Roman" w:hAnsi="Times New Roman" w:eastAsia="方正仿宋_GBK" w:cs="Times New Roman"/>
          <w:sz w:val="32"/>
          <w:szCs w:val="32"/>
          <w:lang w:val="zh-CN"/>
        </w:rPr>
        <w:t>万元。固定资产原值为</w:t>
      </w:r>
      <w:r>
        <w:rPr>
          <w:rFonts w:hint="eastAsia" w:ascii="Times New Roman" w:hAnsi="Times New Roman" w:eastAsia="方正仿宋_GBK" w:cs="Times New Roman"/>
          <w:sz w:val="32"/>
          <w:szCs w:val="32"/>
          <w:lang w:val="en-US" w:eastAsia="zh-CN"/>
        </w:rPr>
        <w:t>18589.50</w:t>
      </w:r>
      <w:r>
        <w:rPr>
          <w:rFonts w:ascii="Times New Roman" w:hAnsi="Times New Roman" w:eastAsia="方正仿宋_GBK" w:cs="Times New Roman"/>
          <w:sz w:val="32"/>
          <w:szCs w:val="32"/>
          <w:lang w:val="zh-CN"/>
        </w:rPr>
        <w:t>万元，净值为</w:t>
      </w:r>
      <w:r>
        <w:rPr>
          <w:rFonts w:hint="eastAsia" w:ascii="Times New Roman" w:hAnsi="Times New Roman" w:eastAsia="方正仿宋_GBK" w:cs="Times New Roman"/>
          <w:sz w:val="32"/>
          <w:szCs w:val="32"/>
          <w:lang w:val="en-US" w:eastAsia="zh-CN"/>
        </w:rPr>
        <w:t>12519.13</w:t>
      </w:r>
      <w:r>
        <w:rPr>
          <w:rFonts w:ascii="Times New Roman" w:hAnsi="Times New Roman" w:eastAsia="方正仿宋_GBK" w:cs="Times New Roman"/>
          <w:sz w:val="32"/>
          <w:szCs w:val="32"/>
          <w:lang w:val="zh-CN"/>
        </w:rPr>
        <w:t>万元。</w:t>
      </w:r>
      <w:r>
        <w:rPr>
          <w:rFonts w:ascii="Times New Roman" w:hAnsi="Times New Roman" w:eastAsia="方正仿宋_GBK" w:cs="Times New Roman"/>
          <w:sz w:val="32"/>
          <w:szCs w:val="32"/>
        </w:rPr>
        <w:t>负债总额为</w:t>
      </w:r>
      <w:r>
        <w:rPr>
          <w:rFonts w:hint="eastAsia" w:ascii="Times New Roman" w:hAnsi="Times New Roman" w:eastAsia="方正仿宋_GBK" w:cs="Times New Roman"/>
          <w:sz w:val="32"/>
          <w:szCs w:val="32"/>
          <w:lang w:val="en-US" w:eastAsia="zh-CN"/>
        </w:rPr>
        <w:t>183.76</w:t>
      </w:r>
      <w:r>
        <w:rPr>
          <w:rFonts w:ascii="Times New Roman" w:hAnsi="Times New Roman" w:eastAsia="方正仿宋_GBK" w:cs="Times New Roman"/>
          <w:sz w:val="32"/>
          <w:szCs w:val="32"/>
        </w:rPr>
        <w:t>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楷体_GBK" w:hAnsi="方正楷体_GBK" w:eastAsia="方正楷体_GBK" w:cs="方正楷体_GBK"/>
          <w:bCs/>
          <w:color w:val="000000"/>
          <w:sz w:val="32"/>
          <w:szCs w:val="32"/>
        </w:rPr>
      </w:pPr>
      <w:r>
        <w:rPr>
          <w:rFonts w:hint="eastAsia" w:ascii="方正楷体_GBK" w:hAnsi="方正楷体_GBK" w:eastAsia="方正楷体_GBK" w:cs="方正楷体_GBK"/>
          <w:bCs/>
          <w:color w:val="000000"/>
          <w:sz w:val="32"/>
          <w:szCs w:val="32"/>
        </w:rPr>
        <w:t>（二）部门收支情况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w:hAnsi="Times New Roman" w:eastAsia="方正仿宋_GBK"/>
          <w:color w:val="000000"/>
          <w:sz w:val="32"/>
          <w:szCs w:val="32"/>
          <w:lang w:eastAsia="zh-CN"/>
        </w:rPr>
      </w:pPr>
      <w:r>
        <w:rPr>
          <w:rFonts w:hint="eastAsia" w:ascii="Times New Roman" w:hAnsi="Times New Roman" w:eastAsia="方正仿宋_GBK"/>
          <w:color w:val="000000"/>
          <w:sz w:val="32"/>
          <w:szCs w:val="32"/>
        </w:rPr>
        <w:t>南京市公安局地铁分局</w:t>
      </w:r>
      <w:r>
        <w:rPr>
          <w:rFonts w:ascii="Times New Roman" w:hAnsi="Times New Roman" w:eastAsia="方正仿宋_GBK"/>
          <w:color w:val="000000"/>
          <w:sz w:val="32"/>
          <w:szCs w:val="32"/>
        </w:rPr>
        <w:t>202</w:t>
      </w:r>
      <w:r>
        <w:rPr>
          <w:rFonts w:hint="eastAsia" w:ascii="Times New Roman" w:hAnsi="Times New Roman" w:eastAsia="方正仿宋_GBK"/>
          <w:color w:val="000000"/>
          <w:sz w:val="32"/>
          <w:szCs w:val="32"/>
          <w:lang w:val="en-US" w:eastAsia="zh-CN"/>
        </w:rPr>
        <w:t>5</w:t>
      </w:r>
      <w:r>
        <w:rPr>
          <w:rFonts w:ascii="Times New Roman" w:hAnsi="Times New Roman" w:eastAsia="方正仿宋_GBK"/>
          <w:color w:val="000000"/>
          <w:sz w:val="32"/>
          <w:szCs w:val="32"/>
        </w:rPr>
        <w:t>年</w:t>
      </w:r>
      <w:r>
        <w:rPr>
          <w:rFonts w:hint="eastAsia" w:ascii="Times New Roman" w:hAnsi="Times New Roman" w:eastAsia="方正仿宋_GBK"/>
          <w:color w:val="000000"/>
          <w:sz w:val="32"/>
          <w:szCs w:val="32"/>
          <w:lang w:eastAsia="zh-CN"/>
        </w:rPr>
        <w:t>年初</w:t>
      </w:r>
      <w:r>
        <w:rPr>
          <w:rFonts w:ascii="Times New Roman" w:hAnsi="Times New Roman" w:eastAsia="方正仿宋_GBK"/>
          <w:color w:val="000000"/>
          <w:sz w:val="32"/>
          <w:szCs w:val="32"/>
        </w:rPr>
        <w:t>预算</w:t>
      </w:r>
      <w:r>
        <w:rPr>
          <w:rFonts w:hint="eastAsia" w:ascii="Times New Roman" w:hAnsi="Times New Roman" w:eastAsia="方正仿宋_GBK"/>
          <w:color w:val="000000"/>
          <w:sz w:val="32"/>
          <w:szCs w:val="32"/>
          <w:lang w:eastAsia="zh-CN"/>
        </w:rPr>
        <w:t>数</w:t>
      </w:r>
      <w:r>
        <w:rPr>
          <w:rFonts w:hint="eastAsia" w:ascii="Times New Roman" w:hAnsi="Times New Roman" w:eastAsia="方正仿宋_GBK"/>
          <w:color w:val="000000"/>
          <w:sz w:val="32"/>
          <w:szCs w:val="32"/>
          <w:lang w:val="en-US" w:eastAsia="zh-CN"/>
        </w:rPr>
        <w:t>22483.73</w:t>
      </w:r>
      <w:r>
        <w:rPr>
          <w:rFonts w:ascii="Times New Roman" w:hAnsi="Times New Roman" w:eastAsia="方正仿宋_GBK"/>
          <w:color w:val="000000"/>
          <w:sz w:val="32"/>
          <w:szCs w:val="32"/>
        </w:rPr>
        <w:t>万元，其中：基本支出</w:t>
      </w:r>
      <w:r>
        <w:rPr>
          <w:rFonts w:hint="eastAsia" w:ascii="Times New Roman" w:hAnsi="Times New Roman" w:eastAsia="方正仿宋_GBK"/>
          <w:color w:val="000000"/>
          <w:sz w:val="32"/>
          <w:szCs w:val="32"/>
          <w:lang w:val="en-US" w:eastAsia="zh-CN"/>
        </w:rPr>
        <w:t>21044.73</w:t>
      </w:r>
      <w:r>
        <w:rPr>
          <w:rFonts w:ascii="Times New Roman" w:hAnsi="Times New Roman" w:eastAsia="方正仿宋_GBK"/>
          <w:color w:val="000000"/>
          <w:sz w:val="32"/>
          <w:szCs w:val="32"/>
        </w:rPr>
        <w:t>万元，项目支出</w:t>
      </w:r>
      <w:r>
        <w:rPr>
          <w:rFonts w:hint="eastAsia" w:ascii="Times New Roman" w:hAnsi="Times New Roman" w:eastAsia="方正仿宋_GBK"/>
          <w:color w:val="000000"/>
          <w:sz w:val="32"/>
          <w:szCs w:val="32"/>
          <w:lang w:val="en-US" w:eastAsia="zh-CN"/>
        </w:rPr>
        <w:t>1439</w:t>
      </w:r>
      <w:r>
        <w:rPr>
          <w:rFonts w:ascii="Times New Roman" w:hAnsi="Times New Roman" w:eastAsia="方正仿宋_GBK"/>
          <w:color w:val="000000"/>
          <w:sz w:val="32"/>
          <w:szCs w:val="32"/>
        </w:rPr>
        <w:t>万元。调整后预算</w:t>
      </w:r>
      <w:r>
        <w:rPr>
          <w:rFonts w:hint="eastAsia" w:ascii="Times New Roman" w:hAnsi="Times New Roman" w:eastAsia="方正仿宋_GBK"/>
          <w:color w:val="000000"/>
          <w:sz w:val="32"/>
          <w:szCs w:val="32"/>
          <w:lang w:val="en-US" w:eastAsia="zh-CN"/>
        </w:rPr>
        <w:t>29518.36</w:t>
      </w:r>
      <w:r>
        <w:rPr>
          <w:rFonts w:ascii="Times New Roman" w:hAnsi="Times New Roman" w:eastAsia="方正仿宋_GBK"/>
          <w:color w:val="000000"/>
          <w:sz w:val="32"/>
          <w:szCs w:val="32"/>
        </w:rPr>
        <w:t>万元，其中：基本支出</w:t>
      </w:r>
      <w:r>
        <w:rPr>
          <w:rFonts w:hint="eastAsia" w:ascii="Times New Roman" w:hAnsi="Times New Roman" w:eastAsia="方正仿宋_GBK"/>
          <w:color w:val="000000"/>
          <w:sz w:val="32"/>
          <w:szCs w:val="32"/>
          <w:lang w:val="en-US" w:eastAsia="zh-CN"/>
        </w:rPr>
        <w:t>27994.72</w:t>
      </w:r>
      <w:r>
        <w:rPr>
          <w:rFonts w:ascii="Times New Roman" w:hAnsi="Times New Roman" w:eastAsia="方正仿宋_GBK"/>
          <w:color w:val="000000"/>
          <w:sz w:val="32"/>
          <w:szCs w:val="32"/>
        </w:rPr>
        <w:t>万元，调增</w:t>
      </w:r>
      <w:r>
        <w:rPr>
          <w:rFonts w:hint="eastAsia" w:ascii="Times New Roman" w:hAnsi="Times New Roman" w:eastAsia="方正仿宋_GBK"/>
          <w:color w:val="000000"/>
          <w:sz w:val="32"/>
          <w:szCs w:val="32"/>
          <w:lang w:val="en-US" w:eastAsia="zh-CN"/>
        </w:rPr>
        <w:t>6949.99</w:t>
      </w:r>
      <w:r>
        <w:rPr>
          <w:rFonts w:ascii="Times New Roman" w:hAnsi="Times New Roman" w:eastAsia="方正仿宋_GBK"/>
          <w:color w:val="000000"/>
          <w:sz w:val="32"/>
          <w:szCs w:val="32"/>
        </w:rPr>
        <w:t>万元，项目支出</w:t>
      </w:r>
      <w:r>
        <w:rPr>
          <w:rFonts w:hint="eastAsia" w:ascii="Times New Roman" w:hAnsi="Times New Roman" w:eastAsia="方正仿宋_GBK"/>
          <w:color w:val="000000"/>
          <w:sz w:val="32"/>
          <w:szCs w:val="32"/>
          <w:lang w:val="en-US" w:eastAsia="zh-CN"/>
        </w:rPr>
        <w:t>1523.64</w:t>
      </w:r>
      <w:r>
        <w:rPr>
          <w:rFonts w:ascii="Times New Roman" w:hAnsi="Times New Roman" w:eastAsia="方正仿宋_GBK"/>
          <w:color w:val="000000"/>
          <w:sz w:val="32"/>
          <w:szCs w:val="32"/>
        </w:rPr>
        <w:t>万元，调增</w:t>
      </w:r>
      <w:r>
        <w:rPr>
          <w:rFonts w:hint="eastAsia" w:ascii="Times New Roman" w:hAnsi="Times New Roman" w:eastAsia="方正仿宋_GBK"/>
          <w:color w:val="000000"/>
          <w:sz w:val="32"/>
          <w:szCs w:val="32"/>
          <w:lang w:val="en-US" w:eastAsia="zh-CN"/>
        </w:rPr>
        <w:t>84.64</w:t>
      </w:r>
      <w:r>
        <w:rPr>
          <w:rFonts w:ascii="Times New Roman" w:hAnsi="Times New Roman" w:eastAsia="方正仿宋_GBK"/>
          <w:color w:val="000000"/>
          <w:sz w:val="32"/>
          <w:szCs w:val="32"/>
        </w:rPr>
        <w:t>万元，</w:t>
      </w:r>
      <w:r>
        <w:rPr>
          <w:rFonts w:hint="eastAsia" w:ascii="Times New Roman" w:hAnsi="Times New Roman" w:eastAsia="方正仿宋_GBK"/>
          <w:color w:val="000000"/>
          <w:sz w:val="32"/>
          <w:szCs w:val="32"/>
          <w:lang w:eastAsia="zh-CN"/>
        </w:rPr>
        <w:t>调整</w:t>
      </w:r>
      <w:r>
        <w:rPr>
          <w:rFonts w:ascii="Times New Roman" w:hAnsi="Times New Roman" w:eastAsia="方正仿宋_GBK"/>
          <w:color w:val="000000"/>
          <w:sz w:val="32"/>
          <w:szCs w:val="32"/>
        </w:rPr>
        <w:t>主要原因是</w:t>
      </w:r>
      <w:r>
        <w:rPr>
          <w:rFonts w:hint="eastAsia" w:ascii="Times New Roman" w:hAnsi="Times New Roman" w:eastAsia="方正仿宋_GBK"/>
          <w:color w:val="000000"/>
          <w:sz w:val="32"/>
          <w:szCs w:val="32"/>
        </w:rPr>
        <w:t>基本支出增人增资、年中追加项目经费</w:t>
      </w:r>
      <w:r>
        <w:rPr>
          <w:rFonts w:hint="eastAsia" w:ascii="Times New Roman" w:hAnsi="Times New Roman" w:eastAsia="方正仿宋_GBK"/>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olor w:val="000000"/>
          <w:sz w:val="32"/>
          <w:szCs w:val="32"/>
          <w:lang w:eastAsia="zh-CN"/>
        </w:rPr>
      </w:pPr>
      <w:r>
        <w:rPr>
          <w:rFonts w:ascii="Times New Roman" w:hAnsi="Times New Roman" w:eastAsia="方正仿宋_GBK"/>
          <w:color w:val="000000"/>
          <w:sz w:val="32"/>
          <w:szCs w:val="32"/>
        </w:rPr>
        <w:t>202</w:t>
      </w:r>
      <w:r>
        <w:rPr>
          <w:rFonts w:hint="eastAsia" w:ascii="Times New Roman" w:hAnsi="Times New Roman" w:eastAsia="方正仿宋_GBK"/>
          <w:color w:val="000000"/>
          <w:sz w:val="32"/>
          <w:szCs w:val="32"/>
          <w:lang w:val="en-US" w:eastAsia="zh-CN"/>
        </w:rPr>
        <w:t>5</w:t>
      </w:r>
      <w:r>
        <w:rPr>
          <w:rFonts w:ascii="Times New Roman" w:hAnsi="Times New Roman" w:eastAsia="方正仿宋_GBK"/>
          <w:color w:val="000000"/>
          <w:sz w:val="32"/>
          <w:szCs w:val="32"/>
        </w:rPr>
        <w:t>年</w:t>
      </w:r>
      <w:r>
        <w:rPr>
          <w:rFonts w:hint="eastAsia" w:ascii="Times New Roman" w:hAnsi="Times New Roman" w:eastAsia="方正仿宋_GBK"/>
          <w:color w:val="000000"/>
          <w:sz w:val="32"/>
          <w:szCs w:val="32"/>
        </w:rPr>
        <w:t>南京市公安局地铁分局决算支出数</w:t>
      </w:r>
      <w:r>
        <w:rPr>
          <w:rFonts w:hint="eastAsia" w:ascii="Times New Roman" w:hAnsi="Times New Roman" w:eastAsia="方正仿宋_GBK"/>
          <w:color w:val="000000"/>
          <w:sz w:val="32"/>
          <w:szCs w:val="32"/>
          <w:lang w:val="en-US" w:eastAsia="zh-CN"/>
        </w:rPr>
        <w:t>28005.30</w:t>
      </w:r>
      <w:r>
        <w:rPr>
          <w:rFonts w:ascii="Times New Roman" w:hAnsi="Times New Roman" w:eastAsia="方正仿宋_GBK"/>
          <w:color w:val="000000"/>
          <w:sz w:val="32"/>
          <w:szCs w:val="32"/>
        </w:rPr>
        <w:t>万元，其中：基本支出</w:t>
      </w:r>
      <w:r>
        <w:rPr>
          <w:rFonts w:hint="eastAsia" w:ascii="Times New Roman" w:hAnsi="Times New Roman" w:eastAsia="方正仿宋_GBK"/>
          <w:color w:val="000000"/>
          <w:sz w:val="32"/>
          <w:szCs w:val="32"/>
          <w:lang w:val="en-US" w:eastAsia="zh-CN"/>
        </w:rPr>
        <w:t>26543.69</w:t>
      </w:r>
      <w:r>
        <w:rPr>
          <w:rFonts w:ascii="Times New Roman" w:hAnsi="Times New Roman" w:eastAsia="方正仿宋_GBK"/>
          <w:color w:val="000000"/>
          <w:sz w:val="32"/>
          <w:szCs w:val="32"/>
        </w:rPr>
        <w:t>万元，项目支出</w:t>
      </w:r>
      <w:r>
        <w:rPr>
          <w:rFonts w:hint="eastAsia" w:ascii="Times New Roman" w:hAnsi="Times New Roman" w:eastAsia="方正仿宋_GBK"/>
          <w:color w:val="000000"/>
          <w:sz w:val="32"/>
          <w:szCs w:val="32"/>
          <w:lang w:val="en-US" w:eastAsia="zh-CN"/>
        </w:rPr>
        <w:t>1461.61</w:t>
      </w:r>
      <w:r>
        <w:rPr>
          <w:rFonts w:ascii="Times New Roman" w:hAnsi="Times New Roman" w:eastAsia="方正仿宋_GBK"/>
          <w:color w:val="000000"/>
          <w:sz w:val="32"/>
          <w:szCs w:val="32"/>
        </w:rPr>
        <w:t>万元</w:t>
      </w:r>
      <w:r>
        <w:rPr>
          <w:rFonts w:hint="eastAsia" w:ascii="Times New Roman" w:hAnsi="Times New Roman" w:eastAsia="方正仿宋_GBK"/>
          <w:color w:val="000000"/>
          <w:sz w:val="32"/>
          <w:szCs w:val="32"/>
          <w:lang w:eastAsia="zh-CN"/>
        </w:rPr>
        <w:t>，</w:t>
      </w:r>
      <w:r>
        <w:rPr>
          <w:rFonts w:hint="eastAsia" w:ascii="Times New Roman" w:hAnsi="Times New Roman" w:eastAsia="方正仿宋_GBK" w:cs="Times New Roman"/>
          <w:sz w:val="32"/>
          <w:szCs w:val="32"/>
          <w:lang w:eastAsia="zh-CN"/>
        </w:rPr>
        <w:t>详见表</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eastAsia="zh-CN"/>
        </w:rPr>
        <w:t>：</w:t>
      </w:r>
    </w:p>
    <w:tbl>
      <w:tblPr>
        <w:tblStyle w:val="11"/>
        <w:tblW w:w="8925" w:type="dxa"/>
        <w:tblInd w:w="0" w:type="dxa"/>
        <w:tblLayout w:type="fixed"/>
        <w:tblCellMar>
          <w:top w:w="0" w:type="dxa"/>
          <w:left w:w="0" w:type="dxa"/>
          <w:bottom w:w="0" w:type="dxa"/>
          <w:right w:w="0" w:type="dxa"/>
        </w:tblCellMar>
      </w:tblPr>
      <w:tblGrid>
        <w:gridCol w:w="1902"/>
        <w:gridCol w:w="1692"/>
        <w:gridCol w:w="1908"/>
        <w:gridCol w:w="1828"/>
        <w:gridCol w:w="1595"/>
      </w:tblGrid>
      <w:tr>
        <w:tblPrEx>
          <w:tblLayout w:type="fixed"/>
          <w:tblCellMar>
            <w:top w:w="0" w:type="dxa"/>
            <w:left w:w="0" w:type="dxa"/>
            <w:bottom w:w="0" w:type="dxa"/>
            <w:right w:w="0" w:type="dxa"/>
          </w:tblCellMar>
        </w:tblPrEx>
        <w:trPr>
          <w:trHeight w:val="600" w:hRule="atLeast"/>
        </w:trPr>
        <w:tc>
          <w:tcPr>
            <w:tcW w:w="8925" w:type="dxa"/>
            <w:gridSpan w:val="5"/>
            <w:tcBorders>
              <w:top w:val="nil"/>
              <w:left w:val="nil"/>
              <w:bottom w:val="nil"/>
              <w:right w:val="nil"/>
            </w:tcBorders>
            <w:tcMar>
              <w:top w:w="15" w:type="dxa"/>
              <w:left w:w="15" w:type="dxa"/>
              <w:right w:w="15" w:type="dxa"/>
            </w:tcMar>
            <w:vAlign w:val="center"/>
          </w:tcPr>
          <w:p>
            <w:pPr>
              <w:spacing w:line="560" w:lineRule="exact"/>
              <w:jc w:val="center"/>
              <w:rPr>
                <w:rFonts w:ascii="Times New Roman" w:hAnsi="Times New Roman" w:eastAsia="仿宋_GB2312" w:cs="Times New Roman"/>
                <w:color w:val="000000"/>
                <w:sz w:val="30"/>
                <w:szCs w:val="30"/>
              </w:rPr>
            </w:pPr>
            <w:r>
              <w:rPr>
                <w:rFonts w:hint="eastAsia" w:ascii="Times New Roman" w:hAnsi="Times New Roman" w:eastAsia="方正仿宋简体"/>
                <w:b/>
                <w:color w:val="000000"/>
                <w:sz w:val="28"/>
                <w:szCs w:val="28"/>
              </w:rPr>
              <w:t>表</w:t>
            </w:r>
            <w:r>
              <w:rPr>
                <w:rFonts w:hint="eastAsia" w:ascii="Times New Roman" w:hAnsi="Times New Roman" w:eastAsia="方正仿宋简体"/>
                <w:b/>
                <w:color w:val="000000"/>
                <w:sz w:val="28"/>
                <w:szCs w:val="28"/>
                <w:lang w:val="en-US" w:eastAsia="zh-CN"/>
              </w:rPr>
              <w:t>1</w:t>
            </w:r>
            <w:r>
              <w:rPr>
                <w:rFonts w:hint="eastAsia" w:ascii="Times New Roman" w:hAnsi="Times New Roman" w:eastAsia="方正仿宋简体"/>
                <w:b/>
                <w:color w:val="000000"/>
                <w:sz w:val="28"/>
                <w:szCs w:val="28"/>
              </w:rPr>
              <w:t>：2025年部门预算安排与支出同比情况</w:t>
            </w:r>
          </w:p>
        </w:tc>
      </w:tr>
      <w:tr>
        <w:tblPrEx>
          <w:tblLayout w:type="fixed"/>
          <w:tblCellMar>
            <w:top w:w="0" w:type="dxa"/>
            <w:left w:w="0" w:type="dxa"/>
            <w:bottom w:w="0" w:type="dxa"/>
            <w:right w:w="0" w:type="dxa"/>
          </w:tblCellMar>
        </w:tblPrEx>
        <w:trPr>
          <w:trHeight w:val="360" w:hRule="atLeast"/>
        </w:trPr>
        <w:tc>
          <w:tcPr>
            <w:tcW w:w="1902" w:type="dxa"/>
            <w:tcBorders>
              <w:top w:val="nil"/>
              <w:left w:val="nil"/>
              <w:bottom w:val="nil"/>
              <w:right w:val="nil"/>
            </w:tcBorders>
            <w:tcMar>
              <w:top w:w="15" w:type="dxa"/>
              <w:left w:w="15" w:type="dxa"/>
              <w:right w:w="15" w:type="dxa"/>
            </w:tcMar>
            <w:vAlign w:val="center"/>
          </w:tcPr>
          <w:p>
            <w:pPr>
              <w:rPr>
                <w:rFonts w:ascii="Times New Roman" w:hAnsi="Times New Roman" w:eastAsia="楷体" w:cs="Times New Roman"/>
                <w:color w:val="000000"/>
                <w:sz w:val="22"/>
                <w:szCs w:val="22"/>
              </w:rPr>
            </w:pPr>
          </w:p>
        </w:tc>
        <w:tc>
          <w:tcPr>
            <w:tcW w:w="1692" w:type="dxa"/>
            <w:tcBorders>
              <w:top w:val="nil"/>
              <w:left w:val="nil"/>
              <w:bottom w:val="nil"/>
              <w:right w:val="nil"/>
            </w:tcBorders>
            <w:tcMar>
              <w:top w:w="15" w:type="dxa"/>
              <w:left w:w="15" w:type="dxa"/>
              <w:right w:w="15" w:type="dxa"/>
            </w:tcMar>
            <w:vAlign w:val="center"/>
          </w:tcPr>
          <w:p>
            <w:pPr>
              <w:rPr>
                <w:rFonts w:ascii="Times New Roman" w:hAnsi="Times New Roman" w:eastAsia="楷体" w:cs="Times New Roman"/>
                <w:color w:val="000000"/>
                <w:sz w:val="22"/>
                <w:szCs w:val="22"/>
              </w:rPr>
            </w:pPr>
          </w:p>
        </w:tc>
        <w:tc>
          <w:tcPr>
            <w:tcW w:w="1908" w:type="dxa"/>
            <w:tcBorders>
              <w:top w:val="nil"/>
              <w:left w:val="nil"/>
              <w:bottom w:val="nil"/>
              <w:right w:val="nil"/>
            </w:tcBorders>
            <w:tcMar>
              <w:top w:w="15" w:type="dxa"/>
              <w:left w:w="15" w:type="dxa"/>
              <w:right w:w="15" w:type="dxa"/>
            </w:tcMar>
            <w:vAlign w:val="center"/>
          </w:tcPr>
          <w:p>
            <w:pPr>
              <w:rPr>
                <w:rFonts w:ascii="Times New Roman" w:hAnsi="Times New Roman" w:eastAsia="楷体" w:cs="Times New Roman"/>
                <w:color w:val="000000"/>
                <w:sz w:val="22"/>
                <w:szCs w:val="22"/>
              </w:rPr>
            </w:pPr>
          </w:p>
        </w:tc>
        <w:tc>
          <w:tcPr>
            <w:tcW w:w="1828" w:type="dxa"/>
            <w:tcBorders>
              <w:top w:val="nil"/>
              <w:left w:val="nil"/>
              <w:bottom w:val="nil"/>
              <w:right w:val="nil"/>
            </w:tcBorders>
            <w:tcMar>
              <w:top w:w="15" w:type="dxa"/>
              <w:left w:w="15" w:type="dxa"/>
              <w:right w:w="15" w:type="dxa"/>
            </w:tcMar>
            <w:vAlign w:val="center"/>
          </w:tcPr>
          <w:p>
            <w:pPr>
              <w:rPr>
                <w:rFonts w:ascii="Times New Roman" w:hAnsi="Times New Roman" w:eastAsia="楷体" w:cs="Times New Roman"/>
                <w:color w:val="000000"/>
                <w:sz w:val="22"/>
                <w:szCs w:val="22"/>
              </w:rPr>
            </w:pPr>
          </w:p>
        </w:tc>
        <w:tc>
          <w:tcPr>
            <w:tcW w:w="1595" w:type="dxa"/>
            <w:tcBorders>
              <w:top w:val="nil"/>
              <w:left w:val="nil"/>
              <w:bottom w:val="nil"/>
              <w:right w:val="nil"/>
            </w:tcBorders>
            <w:tcMar>
              <w:top w:w="15" w:type="dxa"/>
              <w:left w:w="15" w:type="dxa"/>
              <w:right w:w="15" w:type="dxa"/>
            </w:tcMar>
            <w:vAlign w:val="center"/>
          </w:tcPr>
          <w:p>
            <w:pPr>
              <w:widowControl/>
              <w:jc w:val="right"/>
              <w:textAlignment w:val="center"/>
              <w:rPr>
                <w:rFonts w:ascii="Times New Roman" w:hAnsi="Times New Roman" w:eastAsia="楷体" w:cs="Times New Roman"/>
                <w:color w:val="000000"/>
                <w:sz w:val="20"/>
                <w:szCs w:val="20"/>
              </w:rPr>
            </w:pPr>
            <w:r>
              <w:rPr>
                <w:rFonts w:ascii="Times New Roman" w:hAnsi="楷体" w:eastAsia="楷体" w:cs="Times New Roman"/>
                <w:color w:val="000000"/>
                <w:kern w:val="0"/>
                <w:sz w:val="20"/>
                <w:szCs w:val="20"/>
                <w:lang w:bidi="ar"/>
              </w:rPr>
              <w:t>单位：万元</w:t>
            </w:r>
          </w:p>
        </w:tc>
      </w:tr>
      <w:tr>
        <w:tblPrEx>
          <w:tblLayout w:type="fixed"/>
          <w:tblCellMar>
            <w:top w:w="0" w:type="dxa"/>
            <w:left w:w="0" w:type="dxa"/>
            <w:bottom w:w="0" w:type="dxa"/>
            <w:right w:w="0" w:type="dxa"/>
          </w:tblCellMar>
        </w:tblPrEx>
        <w:trPr>
          <w:trHeight w:val="540" w:hRule="atLeast"/>
        </w:trPr>
        <w:tc>
          <w:tcPr>
            <w:tcW w:w="19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支出类别</w:t>
            </w:r>
          </w:p>
        </w:tc>
        <w:tc>
          <w:tcPr>
            <w:tcW w:w="16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年初预算数</w:t>
            </w:r>
          </w:p>
        </w:tc>
        <w:tc>
          <w:tcPr>
            <w:tcW w:w="19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调整后预算数</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实际支出数</w:t>
            </w:r>
          </w:p>
        </w:tc>
        <w:tc>
          <w:tcPr>
            <w:tcW w:w="15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预算执行率</w:t>
            </w:r>
          </w:p>
        </w:tc>
      </w:tr>
      <w:tr>
        <w:tblPrEx>
          <w:tblLayout w:type="fixed"/>
          <w:tblCellMar>
            <w:top w:w="0" w:type="dxa"/>
            <w:left w:w="0" w:type="dxa"/>
            <w:bottom w:w="0" w:type="dxa"/>
            <w:right w:w="0" w:type="dxa"/>
          </w:tblCellMar>
        </w:tblPrEx>
        <w:trPr>
          <w:trHeight w:val="494" w:hRule="atLeast"/>
        </w:trPr>
        <w:tc>
          <w:tcPr>
            <w:tcW w:w="19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基本支出</w:t>
            </w:r>
          </w:p>
        </w:tc>
        <w:tc>
          <w:tcPr>
            <w:tcW w:w="16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default" w:ascii="Times New Roman" w:hAnsi="Times New Roman" w:eastAsia="方正仿宋简体"/>
                <w:color w:val="000000"/>
                <w:sz w:val="28"/>
                <w:szCs w:val="28"/>
                <w:lang w:val="en-US"/>
              </w:rPr>
            </w:pPr>
            <w:r>
              <w:rPr>
                <w:rFonts w:hint="eastAsia" w:ascii="Times New Roman" w:hAnsi="Times New Roman" w:eastAsia="方正仿宋简体"/>
                <w:color w:val="000000"/>
                <w:sz w:val="28"/>
                <w:szCs w:val="28"/>
                <w:lang w:val="en-US" w:eastAsia="zh-CN"/>
              </w:rPr>
              <w:t>21044.73</w:t>
            </w:r>
          </w:p>
        </w:tc>
        <w:tc>
          <w:tcPr>
            <w:tcW w:w="19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27994.72</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26543.69</w:t>
            </w:r>
          </w:p>
        </w:tc>
        <w:tc>
          <w:tcPr>
            <w:tcW w:w="15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rPr>
            </w:pPr>
            <w:r>
              <w:rPr>
                <w:rFonts w:hint="eastAsia" w:ascii="Times New Roman" w:hAnsi="Times New Roman" w:eastAsia="方正仿宋简体"/>
                <w:color w:val="000000"/>
                <w:sz w:val="28"/>
                <w:szCs w:val="28"/>
                <w:lang w:val="en-US" w:eastAsia="zh-CN"/>
              </w:rPr>
              <w:t>94.82</w:t>
            </w:r>
            <w:r>
              <w:rPr>
                <w:rFonts w:ascii="Times New Roman" w:hAnsi="Times New Roman" w:eastAsia="方正仿宋简体"/>
                <w:color w:val="000000"/>
                <w:sz w:val="28"/>
                <w:szCs w:val="28"/>
              </w:rPr>
              <w:t>%</w:t>
            </w:r>
          </w:p>
        </w:tc>
      </w:tr>
      <w:tr>
        <w:tblPrEx>
          <w:tblLayout w:type="fixed"/>
          <w:tblCellMar>
            <w:top w:w="0" w:type="dxa"/>
            <w:left w:w="0" w:type="dxa"/>
            <w:bottom w:w="0" w:type="dxa"/>
            <w:right w:w="0" w:type="dxa"/>
          </w:tblCellMar>
        </w:tblPrEx>
        <w:trPr>
          <w:trHeight w:val="113" w:hRule="atLeast"/>
        </w:trPr>
        <w:tc>
          <w:tcPr>
            <w:tcW w:w="19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项目支出</w:t>
            </w:r>
          </w:p>
        </w:tc>
        <w:tc>
          <w:tcPr>
            <w:tcW w:w="16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1439</w:t>
            </w:r>
          </w:p>
        </w:tc>
        <w:tc>
          <w:tcPr>
            <w:tcW w:w="19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1523.64</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1461.61</w:t>
            </w:r>
          </w:p>
        </w:tc>
        <w:tc>
          <w:tcPr>
            <w:tcW w:w="15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rPr>
            </w:pPr>
            <w:r>
              <w:rPr>
                <w:rFonts w:hint="eastAsia" w:ascii="Times New Roman" w:hAnsi="Times New Roman" w:eastAsia="方正仿宋简体"/>
                <w:color w:val="000000"/>
                <w:sz w:val="28"/>
                <w:szCs w:val="28"/>
                <w:lang w:val="en-US" w:eastAsia="zh-CN"/>
              </w:rPr>
              <w:t>95.93</w:t>
            </w:r>
            <w:r>
              <w:rPr>
                <w:rFonts w:ascii="Times New Roman" w:hAnsi="Times New Roman" w:eastAsia="方正仿宋简体"/>
                <w:color w:val="000000"/>
                <w:sz w:val="28"/>
                <w:szCs w:val="28"/>
              </w:rPr>
              <w:t>%</w:t>
            </w:r>
          </w:p>
        </w:tc>
      </w:tr>
      <w:tr>
        <w:tblPrEx>
          <w:tblLayout w:type="fixed"/>
          <w:tblCellMar>
            <w:top w:w="0" w:type="dxa"/>
            <w:left w:w="0" w:type="dxa"/>
            <w:bottom w:w="0" w:type="dxa"/>
            <w:right w:w="0" w:type="dxa"/>
          </w:tblCellMar>
        </w:tblPrEx>
        <w:trPr>
          <w:trHeight w:val="113" w:hRule="atLeast"/>
        </w:trPr>
        <w:tc>
          <w:tcPr>
            <w:tcW w:w="19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合计</w:t>
            </w:r>
          </w:p>
        </w:tc>
        <w:tc>
          <w:tcPr>
            <w:tcW w:w="16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22483.73</w:t>
            </w:r>
          </w:p>
        </w:tc>
        <w:tc>
          <w:tcPr>
            <w:tcW w:w="19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29518.36</w:t>
            </w:r>
          </w:p>
        </w:tc>
        <w:tc>
          <w:tcPr>
            <w:tcW w:w="1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28005.30</w:t>
            </w:r>
          </w:p>
        </w:tc>
        <w:tc>
          <w:tcPr>
            <w:tcW w:w="15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eastAsia="方正仿宋简体"/>
                <w:color w:val="000000"/>
                <w:sz w:val="28"/>
                <w:szCs w:val="28"/>
              </w:rPr>
            </w:pPr>
            <w:r>
              <w:rPr>
                <w:rFonts w:hint="eastAsia" w:ascii="Times New Roman" w:hAnsi="Times New Roman" w:eastAsia="方正仿宋简体"/>
                <w:color w:val="000000"/>
                <w:sz w:val="28"/>
                <w:szCs w:val="28"/>
                <w:lang w:val="en-US" w:eastAsia="zh-CN"/>
              </w:rPr>
              <w:t>94.87</w:t>
            </w:r>
            <w:r>
              <w:rPr>
                <w:rFonts w:ascii="Times New Roman" w:hAnsi="Times New Roman" w:eastAsia="方正仿宋简体"/>
                <w:color w:val="000000"/>
                <w:sz w:val="28"/>
                <w:szCs w:val="28"/>
              </w:rPr>
              <w:t>%</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color w:val="000000"/>
          <w:kern w:val="0"/>
          <w:sz w:val="32"/>
          <w:szCs w:val="32"/>
        </w:rPr>
      </w:pPr>
      <w:r>
        <w:rPr>
          <w:rFonts w:hint="eastAsia" w:ascii="Times New Roman" w:hAnsi="Times New Roman" w:eastAsia="方正仿宋简体"/>
          <w:color w:val="000000"/>
          <w:sz w:val="32"/>
          <w:szCs w:val="32"/>
        </w:rPr>
        <w:t>2</w:t>
      </w:r>
      <w:r>
        <w:rPr>
          <w:rFonts w:ascii="Times New Roman" w:hAnsi="Times New Roman" w:eastAsia="方正仿宋简体"/>
          <w:color w:val="000000"/>
          <w:sz w:val="32"/>
          <w:szCs w:val="32"/>
        </w:rPr>
        <w:t>．</w:t>
      </w:r>
      <w:r>
        <w:rPr>
          <w:rFonts w:ascii="Times New Roman" w:hAnsi="Times New Roman" w:eastAsia="方正仿宋_GBK"/>
          <w:color w:val="000000"/>
          <w:kern w:val="0"/>
          <w:sz w:val="32"/>
          <w:szCs w:val="32"/>
        </w:rPr>
        <w:t>三公经费情况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lang w:eastAsia="zh-CN"/>
        </w:rPr>
      </w:pPr>
      <w:r>
        <w:rPr>
          <w:rFonts w:ascii="Times New Roman" w:hAnsi="Times New Roman" w:eastAsia="方正仿宋_GBK" w:cs="Times New Roman"/>
          <w:kern w:val="0"/>
          <w:sz w:val="32"/>
          <w:szCs w:val="32"/>
          <w:lang w:val="zh-CN"/>
        </w:rPr>
        <w:t>2025年</w:t>
      </w:r>
      <w:r>
        <w:rPr>
          <w:rFonts w:hint="eastAsia" w:ascii="Times New Roman" w:hAnsi="Times New Roman" w:eastAsia="方正仿宋_GBK"/>
          <w:color w:val="000000"/>
          <w:sz w:val="32"/>
          <w:szCs w:val="32"/>
        </w:rPr>
        <w:t>南京市公安局地铁分局</w:t>
      </w:r>
      <w:r>
        <w:rPr>
          <w:rFonts w:ascii="Times New Roman" w:hAnsi="Times New Roman" w:eastAsia="方正仿宋_GBK" w:cs="Times New Roman"/>
          <w:sz w:val="32"/>
          <w:szCs w:val="32"/>
        </w:rPr>
        <w:t>“三公”经费年初预算数为</w:t>
      </w:r>
      <w:r>
        <w:rPr>
          <w:rFonts w:hint="eastAsia" w:ascii="Times New Roman" w:hAnsi="Times New Roman" w:eastAsia="方正仿宋_GBK" w:cs="Times New Roman"/>
          <w:sz w:val="32"/>
          <w:szCs w:val="32"/>
          <w:lang w:val="en-US" w:eastAsia="zh-CN"/>
        </w:rPr>
        <w:t>265.83</w:t>
      </w:r>
      <w:r>
        <w:rPr>
          <w:rFonts w:ascii="Times New Roman" w:hAnsi="Times New Roman" w:eastAsia="方正仿宋_GBK" w:cs="Times New Roman"/>
          <w:sz w:val="32"/>
          <w:szCs w:val="32"/>
        </w:rPr>
        <w:t>万元，</w:t>
      </w:r>
      <w:r>
        <w:rPr>
          <w:rFonts w:hint="eastAsia" w:ascii="Times New Roman" w:hAnsi="Times New Roman" w:eastAsia="方正仿宋_GBK" w:cs="Times New Roman"/>
          <w:sz w:val="32"/>
          <w:szCs w:val="32"/>
          <w:lang w:eastAsia="zh-CN"/>
        </w:rPr>
        <w:t>全年预算数为</w:t>
      </w:r>
      <w:r>
        <w:rPr>
          <w:rFonts w:hint="eastAsia" w:ascii="Times New Roman" w:hAnsi="Times New Roman" w:eastAsia="方正仿宋_GBK" w:cs="Times New Roman"/>
          <w:sz w:val="32"/>
          <w:szCs w:val="32"/>
          <w:lang w:val="en-US" w:eastAsia="zh-CN"/>
        </w:rPr>
        <w:t>265.83万元</w:t>
      </w:r>
      <w:r>
        <w:rPr>
          <w:rFonts w:ascii="Times New Roman" w:hAnsi="Times New Roman" w:eastAsia="方正仿宋_GBK" w:cs="Times New Roman"/>
          <w:sz w:val="32"/>
          <w:szCs w:val="32"/>
        </w:rPr>
        <w:t>，决算支出数为</w:t>
      </w:r>
      <w:r>
        <w:rPr>
          <w:rFonts w:hint="eastAsia" w:ascii="Times New Roman" w:hAnsi="Times New Roman" w:eastAsia="方正仿宋_GBK" w:cs="Times New Roman"/>
          <w:sz w:val="32"/>
          <w:szCs w:val="32"/>
          <w:lang w:val="en-US" w:eastAsia="zh-CN"/>
        </w:rPr>
        <w:t>48.31</w:t>
      </w:r>
      <w:r>
        <w:rPr>
          <w:rFonts w:ascii="Times New Roman" w:hAnsi="Times New Roman" w:eastAsia="方正仿宋_GBK" w:cs="Times New Roman"/>
          <w:sz w:val="32"/>
          <w:szCs w:val="32"/>
        </w:rPr>
        <w:t>万元，预算执行率</w:t>
      </w:r>
      <w:r>
        <w:rPr>
          <w:rFonts w:hint="eastAsia" w:ascii="Times New Roman" w:hAnsi="Times New Roman" w:eastAsia="方正仿宋_GBK" w:cs="Times New Roman"/>
          <w:sz w:val="32"/>
          <w:szCs w:val="32"/>
          <w:lang w:val="en-US" w:eastAsia="zh-CN"/>
        </w:rPr>
        <w:t>18.17</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，详见表</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eastAsia="zh-CN"/>
        </w:rPr>
        <w:t>：</w:t>
      </w:r>
    </w:p>
    <w:p>
      <w:pPr>
        <w:spacing w:line="560" w:lineRule="exact"/>
        <w:jc w:val="center"/>
        <w:rPr>
          <w:rFonts w:ascii="Times New Roman" w:hAnsi="Times New Roman" w:eastAsia="方正仿宋简体"/>
          <w:b/>
          <w:color w:val="000000"/>
          <w:sz w:val="28"/>
          <w:szCs w:val="28"/>
        </w:rPr>
      </w:pPr>
      <w:r>
        <w:rPr>
          <w:rFonts w:hint="eastAsia" w:ascii="Times New Roman" w:hAnsi="Times New Roman" w:eastAsia="方正仿宋简体"/>
          <w:b/>
          <w:color w:val="000000"/>
          <w:sz w:val="28"/>
          <w:szCs w:val="28"/>
        </w:rPr>
        <w:t>表</w:t>
      </w:r>
      <w:r>
        <w:rPr>
          <w:rFonts w:hint="eastAsia" w:ascii="Times New Roman" w:hAnsi="Times New Roman" w:eastAsia="方正仿宋简体"/>
          <w:b/>
          <w:color w:val="000000"/>
          <w:sz w:val="28"/>
          <w:szCs w:val="28"/>
          <w:lang w:val="en-US" w:eastAsia="zh-CN"/>
        </w:rPr>
        <w:t>2</w:t>
      </w:r>
      <w:r>
        <w:rPr>
          <w:rFonts w:hint="eastAsia" w:ascii="Times New Roman" w:hAnsi="Times New Roman" w:eastAsia="方正仿宋简体"/>
          <w:b/>
          <w:color w:val="000000"/>
          <w:sz w:val="28"/>
          <w:szCs w:val="28"/>
        </w:rPr>
        <w:t>：</w:t>
      </w:r>
      <w:r>
        <w:rPr>
          <w:rFonts w:ascii="Times New Roman" w:hAnsi="Times New Roman" w:eastAsia="方正仿宋简体"/>
          <w:b/>
          <w:color w:val="000000"/>
          <w:sz w:val="28"/>
          <w:szCs w:val="28"/>
        </w:rPr>
        <w:t>2025年“三公”经费预算与执行情况表</w:t>
      </w:r>
    </w:p>
    <w:p>
      <w:pPr>
        <w:widowControl/>
        <w:jc w:val="right"/>
        <w:textAlignment w:val="center"/>
        <w:rPr>
          <w:rFonts w:ascii="Times New Roman" w:hAnsi="楷体" w:eastAsia="楷体" w:cs="Times New Roman"/>
          <w:color w:val="000000"/>
          <w:kern w:val="0"/>
          <w:sz w:val="20"/>
          <w:szCs w:val="20"/>
          <w:lang w:bidi="ar"/>
        </w:rPr>
      </w:pPr>
      <w:r>
        <w:rPr>
          <w:rFonts w:ascii="Times New Roman" w:hAnsi="楷体" w:eastAsia="楷体" w:cs="Times New Roman"/>
          <w:color w:val="000000"/>
          <w:kern w:val="0"/>
          <w:sz w:val="20"/>
          <w:szCs w:val="20"/>
          <w:lang w:bidi="ar"/>
        </w:rPr>
        <w:t>单位：万元</w:t>
      </w:r>
    </w:p>
    <w:tbl>
      <w:tblPr>
        <w:tblStyle w:val="11"/>
        <w:tblW w:w="8519" w:type="dxa"/>
        <w:tblInd w:w="0" w:type="dxa"/>
        <w:tblLayout w:type="fixed"/>
        <w:tblCellMar>
          <w:top w:w="0" w:type="dxa"/>
          <w:left w:w="108" w:type="dxa"/>
          <w:bottom w:w="0" w:type="dxa"/>
          <w:right w:w="108" w:type="dxa"/>
        </w:tblCellMar>
      </w:tblPr>
      <w:tblGrid>
        <w:gridCol w:w="4811"/>
        <w:gridCol w:w="1854"/>
        <w:gridCol w:w="1854"/>
      </w:tblGrid>
      <w:tr>
        <w:tblPrEx>
          <w:tblLayout w:type="fixed"/>
          <w:tblCellMar>
            <w:top w:w="0" w:type="dxa"/>
            <w:left w:w="108" w:type="dxa"/>
            <w:bottom w:w="0" w:type="dxa"/>
            <w:right w:w="108" w:type="dxa"/>
          </w:tblCellMar>
        </w:tblPrEx>
        <w:trPr>
          <w:trHeight w:val="270" w:hRule="atLeast"/>
        </w:trPr>
        <w:tc>
          <w:tcPr>
            <w:tcW w:w="4811" w:type="dxa"/>
            <w:tcBorders>
              <w:top w:val="single" w:color="auto" w:sz="4" w:space="0"/>
              <w:left w:val="single" w:color="auto" w:sz="4" w:space="0"/>
              <w:bottom w:val="single" w:color="auto" w:sz="4" w:space="0"/>
              <w:right w:val="single" w:color="auto" w:sz="4" w:space="0"/>
            </w:tcBorders>
            <w:shd w:val="clear" w:color="000000" w:fill="FFFFFF"/>
            <w:vAlign w:val="top"/>
          </w:tcPr>
          <w:p>
            <w:pPr>
              <w:jc w:val="center"/>
              <w:rPr>
                <w:rFonts w:ascii="Times New Roman" w:hAnsi="Times New Roman" w:eastAsia="方正仿宋简体"/>
                <w:color w:val="000000"/>
                <w:sz w:val="28"/>
                <w:szCs w:val="28"/>
              </w:rPr>
            </w:pPr>
            <w:r>
              <w:rPr>
                <w:rFonts w:ascii="Times New Roman" w:hAnsi="Times New Roman" w:eastAsia="方正仿宋简体"/>
                <w:color w:val="000000"/>
                <w:sz w:val="28"/>
                <w:szCs w:val="28"/>
              </w:rPr>
              <w:t>项目</w:t>
            </w:r>
          </w:p>
        </w:tc>
        <w:tc>
          <w:tcPr>
            <w:tcW w:w="1854" w:type="dxa"/>
            <w:tcBorders>
              <w:top w:val="single" w:color="auto" w:sz="4" w:space="0"/>
              <w:left w:val="nil"/>
              <w:bottom w:val="single" w:color="auto" w:sz="4" w:space="0"/>
              <w:right w:val="single" w:color="auto" w:sz="4" w:space="0"/>
            </w:tcBorders>
            <w:shd w:val="clear" w:color="000000" w:fill="FFFFFF"/>
            <w:vAlign w:val="center"/>
          </w:tcPr>
          <w:p>
            <w:pPr>
              <w:jc w:val="center"/>
              <w:rPr>
                <w:rFonts w:ascii="Times New Roman" w:hAnsi="Times New Roman" w:eastAsia="方正仿宋简体"/>
                <w:color w:val="000000"/>
                <w:sz w:val="28"/>
                <w:szCs w:val="28"/>
              </w:rPr>
            </w:pPr>
            <w:r>
              <w:rPr>
                <w:rFonts w:ascii="Times New Roman" w:hAnsi="Times New Roman" w:eastAsia="方正仿宋简体"/>
                <w:color w:val="000000"/>
                <w:sz w:val="28"/>
                <w:szCs w:val="28"/>
              </w:rPr>
              <w:t>预算数</w:t>
            </w:r>
          </w:p>
        </w:tc>
        <w:tc>
          <w:tcPr>
            <w:tcW w:w="1854" w:type="dxa"/>
            <w:tcBorders>
              <w:top w:val="single" w:color="auto" w:sz="4" w:space="0"/>
              <w:left w:val="nil"/>
              <w:bottom w:val="single" w:color="auto" w:sz="4" w:space="0"/>
              <w:right w:val="single" w:color="auto" w:sz="4" w:space="0"/>
            </w:tcBorders>
            <w:shd w:val="clear" w:color="000000" w:fill="FFFFFF"/>
            <w:vAlign w:val="center"/>
          </w:tcPr>
          <w:p>
            <w:pPr>
              <w:jc w:val="center"/>
              <w:rPr>
                <w:rFonts w:ascii="Times New Roman" w:hAnsi="Times New Roman" w:eastAsia="方正仿宋简体"/>
                <w:color w:val="000000"/>
                <w:sz w:val="28"/>
                <w:szCs w:val="28"/>
              </w:rPr>
            </w:pPr>
            <w:r>
              <w:rPr>
                <w:rFonts w:ascii="Times New Roman" w:hAnsi="Times New Roman" w:eastAsia="方正仿宋简体"/>
                <w:color w:val="000000"/>
                <w:sz w:val="28"/>
                <w:szCs w:val="28"/>
              </w:rPr>
              <w:t>决算数</w:t>
            </w:r>
          </w:p>
        </w:tc>
      </w:tr>
      <w:tr>
        <w:tblPrEx>
          <w:tblLayout w:type="fixed"/>
          <w:tblCellMar>
            <w:top w:w="0" w:type="dxa"/>
            <w:left w:w="108" w:type="dxa"/>
            <w:bottom w:w="0" w:type="dxa"/>
            <w:right w:w="108" w:type="dxa"/>
          </w:tblCellMar>
        </w:tblPrEx>
        <w:trPr>
          <w:trHeight w:val="619" w:hRule="exact"/>
        </w:trPr>
        <w:tc>
          <w:tcPr>
            <w:tcW w:w="4811" w:type="dxa"/>
            <w:tcBorders>
              <w:top w:val="nil"/>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1.因公出国（境）费</w:t>
            </w:r>
          </w:p>
        </w:tc>
        <w:tc>
          <w:tcPr>
            <w:tcW w:w="1854" w:type="dxa"/>
            <w:tcBorders>
              <w:top w:val="nil"/>
              <w:left w:val="nil"/>
              <w:bottom w:val="single" w:color="auto" w:sz="4" w:space="0"/>
              <w:right w:val="single" w:color="auto" w:sz="4" w:space="0"/>
            </w:tcBorders>
            <w:shd w:val="clear" w:color="000000" w:fill="FFFFFF"/>
            <w:vAlign w:val="center"/>
          </w:tcPr>
          <w:p>
            <w:pPr>
              <w:jc w:val="center"/>
              <w:rPr>
                <w:rFonts w:hint="default" w:ascii="Times New Roman" w:hAnsi="Times New Roman" w:eastAsia="方正仿宋简体"/>
                <w:color w:val="000000"/>
                <w:sz w:val="28"/>
                <w:szCs w:val="28"/>
                <w:lang w:val="en-US" w:eastAsia="zh-CN"/>
              </w:rPr>
            </w:pPr>
            <w:r>
              <w:rPr>
                <w:rFonts w:ascii="Times New Roman" w:hAnsi="Times New Roman" w:eastAsia="方正仿宋简体"/>
                <w:color w:val="000000"/>
                <w:sz w:val="28"/>
                <w:szCs w:val="28"/>
              </w:rPr>
              <w:t>0</w:t>
            </w:r>
            <w:r>
              <w:rPr>
                <w:rFonts w:hint="eastAsia" w:ascii="Times New Roman" w:hAnsi="Times New Roman" w:eastAsia="方正仿宋简体"/>
                <w:color w:val="000000"/>
                <w:sz w:val="28"/>
                <w:szCs w:val="28"/>
                <w:lang w:val="en-US" w:eastAsia="zh-CN"/>
              </w:rPr>
              <w:t>.00</w:t>
            </w:r>
          </w:p>
        </w:tc>
        <w:tc>
          <w:tcPr>
            <w:tcW w:w="1854" w:type="dxa"/>
            <w:tcBorders>
              <w:top w:val="nil"/>
              <w:left w:val="nil"/>
              <w:bottom w:val="single" w:color="auto" w:sz="4" w:space="0"/>
              <w:right w:val="single" w:color="auto" w:sz="4" w:space="0"/>
            </w:tcBorders>
            <w:shd w:val="clear" w:color="000000" w:fill="FFFFFF"/>
            <w:vAlign w:val="center"/>
          </w:tcPr>
          <w:p>
            <w:pPr>
              <w:jc w:val="center"/>
              <w:rPr>
                <w:rFonts w:hint="default" w:ascii="Times New Roman" w:hAnsi="Times New Roman" w:eastAsia="方正仿宋简体"/>
                <w:color w:val="000000"/>
                <w:sz w:val="28"/>
                <w:szCs w:val="28"/>
                <w:lang w:val="en-US" w:eastAsia="zh-CN"/>
              </w:rPr>
            </w:pPr>
            <w:r>
              <w:rPr>
                <w:rFonts w:ascii="Times New Roman" w:hAnsi="Times New Roman" w:eastAsia="方正仿宋简体"/>
                <w:color w:val="000000"/>
                <w:sz w:val="28"/>
                <w:szCs w:val="28"/>
              </w:rPr>
              <w:t>0</w:t>
            </w:r>
            <w:r>
              <w:rPr>
                <w:rFonts w:hint="eastAsia" w:ascii="Times New Roman" w:hAnsi="Times New Roman" w:eastAsia="方正仿宋简体"/>
                <w:color w:val="000000"/>
                <w:sz w:val="28"/>
                <w:szCs w:val="28"/>
                <w:lang w:val="en-US" w:eastAsia="zh-CN"/>
              </w:rPr>
              <w:t>.00</w:t>
            </w:r>
          </w:p>
        </w:tc>
      </w:tr>
      <w:tr>
        <w:tblPrEx>
          <w:tblLayout w:type="fixed"/>
          <w:tblCellMar>
            <w:top w:w="0" w:type="dxa"/>
            <w:left w:w="108" w:type="dxa"/>
            <w:bottom w:w="0" w:type="dxa"/>
            <w:right w:w="108" w:type="dxa"/>
          </w:tblCellMar>
        </w:tblPrEx>
        <w:trPr>
          <w:trHeight w:val="635" w:hRule="exact"/>
        </w:trPr>
        <w:tc>
          <w:tcPr>
            <w:tcW w:w="4811" w:type="dxa"/>
            <w:tcBorders>
              <w:top w:val="nil"/>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2.公务接待费</w:t>
            </w:r>
          </w:p>
        </w:tc>
        <w:tc>
          <w:tcPr>
            <w:tcW w:w="1854" w:type="dxa"/>
            <w:tcBorders>
              <w:top w:val="nil"/>
              <w:left w:val="nil"/>
              <w:bottom w:val="single" w:color="auto" w:sz="4" w:space="0"/>
              <w:right w:val="single" w:color="auto" w:sz="4" w:space="0"/>
            </w:tcBorders>
            <w:shd w:val="clear" w:color="000000" w:fill="FFFFFF"/>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4.00</w:t>
            </w:r>
          </w:p>
        </w:tc>
        <w:tc>
          <w:tcPr>
            <w:tcW w:w="1854" w:type="dxa"/>
            <w:tcBorders>
              <w:top w:val="nil"/>
              <w:left w:val="nil"/>
              <w:bottom w:val="single" w:color="auto" w:sz="4" w:space="0"/>
              <w:right w:val="single" w:color="auto" w:sz="4" w:space="0"/>
            </w:tcBorders>
            <w:shd w:val="clear" w:color="000000" w:fill="FFFFFF"/>
            <w:vAlign w:val="center"/>
          </w:tcPr>
          <w:p>
            <w:pPr>
              <w:jc w:val="center"/>
              <w:rPr>
                <w:rFonts w:hint="default" w:ascii="Times New Roman" w:hAnsi="Times New Roman" w:eastAsia="方正仿宋简体"/>
                <w:color w:val="000000"/>
                <w:sz w:val="28"/>
                <w:szCs w:val="28"/>
                <w:lang w:val="en-US" w:eastAsia="zh-CN"/>
              </w:rPr>
            </w:pPr>
            <w:r>
              <w:rPr>
                <w:rFonts w:ascii="Times New Roman" w:hAnsi="Times New Roman" w:eastAsia="方正仿宋简体"/>
                <w:color w:val="000000"/>
                <w:sz w:val="28"/>
                <w:szCs w:val="28"/>
              </w:rPr>
              <w:t>0</w:t>
            </w:r>
            <w:r>
              <w:rPr>
                <w:rFonts w:hint="eastAsia" w:ascii="Times New Roman" w:hAnsi="Times New Roman" w:eastAsia="方正仿宋简体"/>
                <w:color w:val="000000"/>
                <w:sz w:val="28"/>
                <w:szCs w:val="28"/>
                <w:lang w:val="en-US" w:eastAsia="zh-CN"/>
              </w:rPr>
              <w:t>.00</w:t>
            </w:r>
          </w:p>
        </w:tc>
      </w:tr>
      <w:tr>
        <w:tblPrEx>
          <w:tblLayout w:type="fixed"/>
          <w:tblCellMar>
            <w:top w:w="0" w:type="dxa"/>
            <w:left w:w="108" w:type="dxa"/>
            <w:bottom w:w="0" w:type="dxa"/>
            <w:right w:w="108" w:type="dxa"/>
          </w:tblCellMar>
        </w:tblPrEx>
        <w:trPr>
          <w:trHeight w:val="615" w:hRule="exact"/>
        </w:trPr>
        <w:tc>
          <w:tcPr>
            <w:tcW w:w="4811" w:type="dxa"/>
            <w:tcBorders>
              <w:top w:val="nil"/>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3.公务车辆购置及运行费</w:t>
            </w:r>
          </w:p>
        </w:tc>
        <w:tc>
          <w:tcPr>
            <w:tcW w:w="1854" w:type="dxa"/>
            <w:tcBorders>
              <w:top w:val="nil"/>
              <w:left w:val="nil"/>
              <w:bottom w:val="single" w:color="auto" w:sz="4" w:space="0"/>
              <w:right w:val="single" w:color="auto" w:sz="4" w:space="0"/>
            </w:tcBorders>
            <w:shd w:val="clear" w:color="000000" w:fill="FFFFFF"/>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261.83</w:t>
            </w:r>
          </w:p>
        </w:tc>
        <w:tc>
          <w:tcPr>
            <w:tcW w:w="1854" w:type="dxa"/>
            <w:tcBorders>
              <w:top w:val="nil"/>
              <w:left w:val="nil"/>
              <w:bottom w:val="single" w:color="auto" w:sz="4" w:space="0"/>
              <w:right w:val="single" w:color="auto" w:sz="4" w:space="0"/>
            </w:tcBorders>
            <w:shd w:val="clear" w:color="000000" w:fill="FFFFFF"/>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48.31</w:t>
            </w:r>
          </w:p>
        </w:tc>
      </w:tr>
      <w:tr>
        <w:tblPrEx>
          <w:tblLayout w:type="fixed"/>
          <w:tblCellMar>
            <w:top w:w="0" w:type="dxa"/>
            <w:left w:w="108" w:type="dxa"/>
            <w:bottom w:w="0" w:type="dxa"/>
            <w:right w:w="108" w:type="dxa"/>
          </w:tblCellMar>
        </w:tblPrEx>
        <w:trPr>
          <w:trHeight w:val="535" w:hRule="exact"/>
        </w:trPr>
        <w:tc>
          <w:tcPr>
            <w:tcW w:w="4811" w:type="dxa"/>
            <w:tcBorders>
              <w:top w:val="nil"/>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方正仿宋简体"/>
                <w:color w:val="000000"/>
                <w:sz w:val="28"/>
                <w:szCs w:val="28"/>
                <w:lang w:val="zh-CN"/>
              </w:rPr>
            </w:pPr>
            <w:r>
              <w:rPr>
                <w:rFonts w:ascii="Times New Roman" w:hAnsi="Times New Roman" w:eastAsia="方正仿宋简体"/>
                <w:color w:val="000000"/>
                <w:sz w:val="28"/>
                <w:szCs w:val="28"/>
                <w:lang w:val="zh-CN"/>
              </w:rPr>
              <w:t>合 计</w:t>
            </w:r>
          </w:p>
        </w:tc>
        <w:tc>
          <w:tcPr>
            <w:tcW w:w="1854" w:type="dxa"/>
            <w:tcBorders>
              <w:top w:val="nil"/>
              <w:left w:val="nil"/>
              <w:bottom w:val="single" w:color="auto" w:sz="4" w:space="0"/>
              <w:right w:val="single" w:color="auto" w:sz="4" w:space="0"/>
            </w:tcBorders>
            <w:shd w:val="clear" w:color="000000" w:fill="FFFFFF"/>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265.83</w:t>
            </w:r>
          </w:p>
        </w:tc>
        <w:tc>
          <w:tcPr>
            <w:tcW w:w="1854" w:type="dxa"/>
            <w:tcBorders>
              <w:top w:val="nil"/>
              <w:left w:val="nil"/>
              <w:bottom w:val="single" w:color="auto" w:sz="4" w:space="0"/>
              <w:right w:val="single" w:color="auto" w:sz="4" w:space="0"/>
            </w:tcBorders>
            <w:shd w:val="clear" w:color="000000" w:fill="FFFFFF"/>
            <w:vAlign w:val="center"/>
          </w:tcPr>
          <w:p>
            <w:pPr>
              <w:jc w:val="center"/>
              <w:rPr>
                <w:rFonts w:hint="default" w:ascii="Times New Roman" w:hAnsi="Times New Roman" w:eastAsia="方正仿宋简体"/>
                <w:color w:val="000000"/>
                <w:sz w:val="28"/>
                <w:szCs w:val="28"/>
                <w:lang w:val="en-US" w:eastAsia="zh-CN"/>
              </w:rPr>
            </w:pPr>
            <w:r>
              <w:rPr>
                <w:rFonts w:hint="eastAsia" w:ascii="Times New Roman" w:hAnsi="Times New Roman" w:eastAsia="方正仿宋简体"/>
                <w:color w:val="000000"/>
                <w:sz w:val="28"/>
                <w:szCs w:val="28"/>
                <w:lang w:val="en-US" w:eastAsia="zh-CN"/>
              </w:rPr>
              <w:t>48.31</w:t>
            </w:r>
          </w:p>
        </w:tc>
      </w:tr>
    </w:tbl>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3.专项资金情况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zh-CN"/>
        </w:rPr>
      </w:pPr>
      <w:r>
        <w:rPr>
          <w:rFonts w:hint="eastAsia" w:ascii="Times New Roman" w:hAnsi="Times New Roman" w:eastAsia="方正仿宋_GBK" w:cs="Times New Roman"/>
          <w:kern w:val="0"/>
          <w:sz w:val="32"/>
          <w:szCs w:val="32"/>
          <w:lang w:val="en-US" w:eastAsia="zh-CN"/>
        </w:rPr>
        <w:t>2025年</w:t>
      </w:r>
      <w:r>
        <w:rPr>
          <w:rFonts w:hint="eastAsia" w:ascii="Times New Roman" w:hAnsi="Times New Roman" w:eastAsia="方正仿宋_GBK"/>
          <w:color w:val="000000"/>
          <w:sz w:val="32"/>
          <w:szCs w:val="32"/>
        </w:rPr>
        <w:t>南京市公安局地铁分局</w:t>
      </w:r>
      <w:r>
        <w:rPr>
          <w:rFonts w:hint="eastAsia" w:ascii="Times New Roman" w:hAnsi="Times New Roman" w:eastAsia="方正仿宋_GBK" w:cs="Times New Roman"/>
          <w:kern w:val="0"/>
          <w:sz w:val="32"/>
          <w:szCs w:val="32"/>
          <w:lang w:val="zh-CN" w:eastAsia="zh-CN"/>
        </w:rPr>
        <w:t>无</w:t>
      </w:r>
      <w:r>
        <w:rPr>
          <w:rFonts w:hint="eastAsia" w:ascii="Times New Roman" w:hAnsi="Times New Roman" w:eastAsia="方正仿宋_GBK" w:cs="Times New Roman"/>
          <w:kern w:val="0"/>
          <w:sz w:val="32"/>
          <w:szCs w:val="32"/>
          <w:lang w:val="en-US" w:eastAsia="zh-CN"/>
        </w:rPr>
        <w:t>市级</w:t>
      </w:r>
      <w:r>
        <w:rPr>
          <w:rFonts w:hint="eastAsia" w:ascii="Times New Roman" w:hAnsi="Times New Roman" w:eastAsia="方正仿宋_GBK" w:cs="Times New Roman"/>
          <w:kern w:val="0"/>
          <w:sz w:val="32"/>
          <w:szCs w:val="32"/>
          <w:lang w:val="zh-CN" w:eastAsia="zh-CN"/>
        </w:rPr>
        <w:t>专项资金</w:t>
      </w:r>
      <w:r>
        <w:rPr>
          <w:rFonts w:hint="eastAsia" w:ascii="Times New Roman" w:hAnsi="Times New Roman" w:eastAsia="方正仿宋_GBK" w:cs="Times New Roman"/>
          <w:kern w:val="0"/>
          <w:sz w:val="32"/>
          <w:szCs w:val="32"/>
          <w:lang w:val="en-US" w:eastAsia="zh-CN"/>
        </w:rPr>
        <w:t>项目</w:t>
      </w:r>
      <w:r>
        <w:rPr>
          <w:rFonts w:hint="eastAsia" w:ascii="Times New Roman" w:hAnsi="Times New Roman" w:eastAsia="方正仿宋_GBK" w:cs="Times New Roman"/>
          <w:kern w:val="0"/>
          <w:sz w:val="32"/>
          <w:szCs w:val="32"/>
          <w:lang w:val="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楷体_GBK" w:hAnsi="方正楷体_GBK" w:eastAsia="方正楷体_GBK" w:cs="方正楷体_GBK"/>
          <w:bCs/>
          <w:color w:val="000000"/>
          <w:sz w:val="32"/>
          <w:szCs w:val="32"/>
        </w:rPr>
      </w:pPr>
      <w:r>
        <w:rPr>
          <w:rFonts w:hint="eastAsia" w:ascii="方正楷体_GBK" w:hAnsi="方正楷体_GBK" w:eastAsia="方正楷体_GBK" w:cs="方正楷体_GBK"/>
          <w:bCs/>
          <w:color w:val="000000"/>
          <w:sz w:val="32"/>
          <w:szCs w:val="32"/>
        </w:rPr>
        <w:t>（三）部门绩效目标</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cs="仿宋"/>
          <w:kern w:val="0"/>
          <w:sz w:val="32"/>
          <w:szCs w:val="32"/>
        </w:rPr>
      </w:pPr>
      <w:r>
        <w:rPr>
          <w:rFonts w:hint="eastAsia" w:ascii="Times New Roman" w:hAnsi="Times New Roman" w:eastAsia="仿宋" w:cs="仿宋"/>
          <w:kern w:val="0"/>
          <w:sz w:val="32"/>
          <w:szCs w:val="32"/>
        </w:rPr>
        <w:t>1.</w:t>
      </w:r>
      <w:r>
        <w:rPr>
          <w:rFonts w:hint="eastAsia" w:ascii="Times New Roman" w:hAnsi="Times New Roman" w:eastAsia="方正仿宋_GBK" w:cs="仿宋"/>
          <w:kern w:val="0"/>
          <w:sz w:val="32"/>
          <w:szCs w:val="32"/>
        </w:rPr>
        <w:t>中长期目标</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27" w:firstLineChars="196"/>
        <w:textAlignment w:val="auto"/>
        <w:rPr>
          <w:rFonts w:hint="eastAsia" w:ascii="Times New Roman" w:hAnsi="Times New Roman" w:eastAsia="方正仿宋_GBK" w:cs="仿宋"/>
          <w:kern w:val="0"/>
          <w:sz w:val="32"/>
          <w:szCs w:val="32"/>
        </w:rPr>
      </w:pPr>
      <w:r>
        <w:rPr>
          <w:rFonts w:hint="eastAsia" w:ascii="Times New Roman" w:hAnsi="Times New Roman" w:eastAsia="方正仿宋_GBK" w:cs="仿宋"/>
          <w:kern w:val="0"/>
          <w:sz w:val="32"/>
          <w:szCs w:val="32"/>
        </w:rPr>
        <w:t>始终</w:t>
      </w:r>
      <w:r>
        <w:rPr>
          <w:rFonts w:hint="eastAsia" w:ascii="Times New Roman" w:hAnsi="Times New Roman" w:eastAsia="方正仿宋_GBK" w:cs="仿宋"/>
          <w:kern w:val="0"/>
          <w:sz w:val="32"/>
          <w:szCs w:val="32"/>
          <w:lang w:eastAsia="zh-CN"/>
        </w:rPr>
        <w:t>不渝</w:t>
      </w:r>
      <w:bookmarkStart w:id="1" w:name="_GoBack"/>
      <w:bookmarkEnd w:id="1"/>
      <w:r>
        <w:rPr>
          <w:rFonts w:hint="eastAsia" w:ascii="Times New Roman" w:hAnsi="Times New Roman" w:eastAsia="方正仿宋_GBK" w:cs="仿宋"/>
          <w:kern w:val="0"/>
          <w:sz w:val="32"/>
          <w:szCs w:val="32"/>
        </w:rPr>
        <w:t>坚持党的绝对领导，锚定“八个不发生”目标，以“强治理”为主题主线，更好统筹发展和安全，以红旗所队党支部建设为抓手，着力打造符合时代要求、体现实战特点、具有</w:t>
      </w:r>
      <w:r>
        <w:rPr>
          <w:rFonts w:hint="eastAsia" w:ascii="Times New Roman" w:hAnsi="Times New Roman" w:eastAsia="方正仿宋_GBK" w:cs="仿宋"/>
          <w:kern w:val="0"/>
          <w:sz w:val="32"/>
          <w:szCs w:val="32"/>
          <w:lang w:val="en-US" w:eastAsia="zh-CN"/>
        </w:rPr>
        <w:t>地铁</w:t>
      </w:r>
      <w:r>
        <w:rPr>
          <w:rFonts w:hint="eastAsia" w:ascii="Times New Roman" w:hAnsi="Times New Roman" w:eastAsia="方正仿宋_GBK" w:cs="仿宋"/>
          <w:kern w:val="0"/>
          <w:sz w:val="32"/>
          <w:szCs w:val="32"/>
        </w:rPr>
        <w:t>特色的现代警务格局。推进“人工智能+公共安全”建设，拓展各类数据来源，加强分析研判模型、AI智能体等研发应用，更好引领支撑基层实战。强化执法规范化建设，完善执法监督管理制约体系，杜绝不作为、乱作为问题。突出抓基础、强根基导向，常态化开展风险隐患排查整改，加强跟踪问效，实现防控闭环。</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27" w:firstLineChars="196"/>
        <w:textAlignment w:val="auto"/>
        <w:rPr>
          <w:rFonts w:ascii="Times New Roman" w:hAnsi="Times New Roman" w:eastAsia="方正仿宋_GBK" w:cs="仿宋"/>
          <w:kern w:val="0"/>
          <w:sz w:val="32"/>
          <w:szCs w:val="32"/>
        </w:rPr>
      </w:pPr>
      <w:r>
        <w:rPr>
          <w:rFonts w:hint="eastAsia" w:ascii="Times New Roman" w:hAnsi="Times New Roman" w:eastAsia="方正仿宋_GBK" w:cs="仿宋"/>
          <w:kern w:val="0"/>
          <w:sz w:val="32"/>
          <w:szCs w:val="32"/>
        </w:rPr>
        <w:t>2.年度绩效目标</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27" w:firstLineChars="196"/>
        <w:textAlignment w:val="auto"/>
        <w:rPr>
          <w:rFonts w:hint="eastAsia" w:ascii="Times New Roman" w:hAnsi="Times New Roman" w:eastAsia="方正仿宋_GBK" w:cs="仿宋"/>
          <w:kern w:val="0"/>
          <w:sz w:val="32"/>
          <w:szCs w:val="32"/>
        </w:rPr>
      </w:pPr>
      <w:r>
        <w:rPr>
          <w:rFonts w:hint="eastAsia" w:ascii="Times New Roman" w:hAnsi="Times New Roman" w:eastAsia="方正仿宋_GBK" w:cs="仿宋"/>
          <w:kern w:val="0"/>
          <w:sz w:val="32"/>
          <w:szCs w:val="32"/>
        </w:rPr>
        <w:t>紧密追踪人工智能、物联感知、数据大模型等前沿科技的发展趋势，坚持科技兴警战略导向，强化顶层设计与系统布局，科学制定并滚动完善科技信息化建设与应用的三年度发展规划。以省公安厅、市公安局整体信息化建设部署为重要契机，持续优化分局网络架构，升级智能感知基础设施体系，夯实科技赋能根基。聚焦</w:t>
      </w:r>
      <w:r>
        <w:rPr>
          <w:rFonts w:hint="eastAsia" w:ascii="Times New Roman" w:hAnsi="Times New Roman" w:eastAsia="方正仿宋_GBK" w:cs="仿宋"/>
          <w:kern w:val="0"/>
          <w:sz w:val="32"/>
          <w:szCs w:val="32"/>
          <w:lang w:val="en-US" w:eastAsia="zh-CN"/>
        </w:rPr>
        <w:t>地铁</w:t>
      </w:r>
      <w:r>
        <w:rPr>
          <w:rFonts w:hint="eastAsia" w:ascii="Times New Roman" w:hAnsi="Times New Roman" w:eastAsia="方正仿宋_GBK" w:cs="仿宋"/>
          <w:kern w:val="0"/>
          <w:sz w:val="32"/>
          <w:szCs w:val="32"/>
        </w:rPr>
        <w:t>交通安保及反恐工作中的难点、堵点与风险点，积极探索技术创新与应用场景的深度融合，力求在风险预警、应急处置、精准防控等关键环节实现新的突破。通过科技手段的全面赋能，持续压降辖区内的治安与刑事案件发案率，提升专业化、精准化打击犯罪的效能。</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黑体_GBK" w:cs="Times New Roman"/>
          <w:color w:val="000000"/>
          <w:kern w:val="0"/>
          <w:sz w:val="32"/>
          <w:szCs w:val="32"/>
        </w:rPr>
      </w:pPr>
      <w:r>
        <w:rPr>
          <w:rFonts w:hint="eastAsia" w:ascii="Times New Roman" w:hAnsi="Times New Roman" w:eastAsia="方正黑体_GBK" w:cs="Times New Roman"/>
          <w:color w:val="000000"/>
          <w:kern w:val="0"/>
          <w:sz w:val="32"/>
          <w:szCs w:val="32"/>
        </w:rPr>
        <w:t>二 、评价结论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楷体_GBK" w:hAnsi="方正楷体_GBK" w:eastAsia="方正楷体_GBK" w:cs="方正楷体_GBK"/>
          <w:bCs/>
          <w:color w:val="000000"/>
          <w:sz w:val="32"/>
          <w:szCs w:val="32"/>
          <w:lang w:val="en-US" w:eastAsia="zh-CN"/>
        </w:rPr>
      </w:pPr>
      <w:r>
        <w:rPr>
          <w:rFonts w:hint="eastAsia" w:ascii="方正楷体_GBK" w:hAnsi="方正楷体_GBK" w:eastAsia="方正楷体_GBK" w:cs="方正楷体_GBK"/>
          <w:bCs/>
          <w:color w:val="000000"/>
          <w:sz w:val="32"/>
          <w:szCs w:val="32"/>
        </w:rPr>
        <w:t>（一）评价对象和</w:t>
      </w:r>
      <w:r>
        <w:rPr>
          <w:rFonts w:hint="eastAsia" w:ascii="方正楷体_GBK" w:hAnsi="方正楷体_GBK" w:eastAsia="方正楷体_GBK" w:cs="方正楷体_GBK"/>
          <w:bCs/>
          <w:color w:val="000000"/>
          <w:sz w:val="32"/>
          <w:szCs w:val="32"/>
          <w:lang w:val="en-US" w:eastAsia="zh-CN"/>
        </w:rPr>
        <w:t>范围</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本次评价对象为</w:t>
      </w:r>
      <w:r>
        <w:rPr>
          <w:rFonts w:hint="eastAsia" w:ascii="Times New Roman" w:hAnsi="Times New Roman" w:eastAsia="方正仿宋_GBK"/>
          <w:color w:val="000000"/>
          <w:sz w:val="32"/>
          <w:szCs w:val="32"/>
        </w:rPr>
        <w:t>南京市公安局地铁分局</w:t>
      </w:r>
      <w:r>
        <w:rPr>
          <w:rFonts w:hint="default" w:ascii="Times New Roman" w:hAnsi="Times New Roman" w:eastAsia="方正仿宋_GBK" w:cs="Times New Roman"/>
          <w:sz w:val="32"/>
          <w:szCs w:val="32"/>
        </w:rPr>
        <w:t>部门整体资金，2025年</w:t>
      </w:r>
      <w:r>
        <w:rPr>
          <w:rFonts w:hint="eastAsia" w:ascii="Times New Roman" w:hAnsi="Times New Roman" w:eastAsia="方正仿宋_GBK"/>
          <w:color w:val="000000"/>
          <w:sz w:val="32"/>
          <w:szCs w:val="32"/>
        </w:rPr>
        <w:t>南京市公安局地铁分局</w:t>
      </w:r>
      <w:r>
        <w:rPr>
          <w:rFonts w:hint="default" w:ascii="Times New Roman" w:hAnsi="Times New Roman" w:eastAsia="方正仿宋_GBK" w:cs="Times New Roman"/>
          <w:sz w:val="32"/>
          <w:szCs w:val="32"/>
        </w:rPr>
        <w:t>年初预算数为</w:t>
      </w:r>
      <w:r>
        <w:rPr>
          <w:rFonts w:hint="eastAsia" w:ascii="Times New Roman" w:hAnsi="Times New Roman" w:eastAsia="方正仿宋_GBK"/>
          <w:color w:val="000000"/>
          <w:sz w:val="32"/>
          <w:szCs w:val="32"/>
          <w:lang w:val="en-US" w:eastAsia="zh-CN"/>
        </w:rPr>
        <w:t>22483.73</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000000"/>
          <w:kern w:val="0"/>
          <w:sz w:val="32"/>
          <w:szCs w:val="32"/>
          <w:lang w:val="en-US" w:eastAsia="zh-CN" w:bidi="ar"/>
        </w:rPr>
        <w:t>调整后预算数</w:t>
      </w:r>
      <w:r>
        <w:rPr>
          <w:rFonts w:hint="eastAsia" w:ascii="Times New Roman" w:hAnsi="Times New Roman" w:eastAsia="方正仿宋_GBK"/>
          <w:color w:val="000000"/>
          <w:sz w:val="32"/>
          <w:szCs w:val="32"/>
          <w:lang w:val="en-US" w:eastAsia="zh-CN"/>
        </w:rPr>
        <w:t>29518.36</w:t>
      </w:r>
      <w:r>
        <w:rPr>
          <w:rFonts w:hint="default" w:ascii="Times New Roman" w:hAnsi="Times New Roman" w:eastAsia="方正仿宋_GBK" w:cs="Times New Roman"/>
          <w:color w:val="000000"/>
          <w:kern w:val="0"/>
          <w:sz w:val="32"/>
          <w:szCs w:val="32"/>
          <w:lang w:val="en-US" w:eastAsia="zh-CN" w:bidi="ar"/>
        </w:rPr>
        <w:t>万元（包括基本支出</w:t>
      </w:r>
      <w:r>
        <w:rPr>
          <w:rFonts w:hint="eastAsia" w:ascii="Times New Roman" w:hAnsi="Times New Roman" w:eastAsia="方正仿宋_GBK"/>
          <w:color w:val="000000"/>
          <w:sz w:val="32"/>
          <w:szCs w:val="32"/>
          <w:lang w:val="en-US" w:eastAsia="zh-CN"/>
        </w:rPr>
        <w:t>27994.72</w:t>
      </w:r>
      <w:r>
        <w:rPr>
          <w:rFonts w:hint="default" w:ascii="Times New Roman" w:hAnsi="Times New Roman" w:eastAsia="方正仿宋_GBK" w:cs="Times New Roman"/>
          <w:color w:val="000000"/>
          <w:kern w:val="0"/>
          <w:sz w:val="32"/>
          <w:szCs w:val="32"/>
          <w:lang w:val="en-US" w:eastAsia="zh-CN" w:bidi="ar"/>
        </w:rPr>
        <w:t>万元和项目支出</w:t>
      </w:r>
      <w:r>
        <w:rPr>
          <w:rFonts w:hint="eastAsia" w:ascii="Times New Roman" w:hAnsi="Times New Roman" w:eastAsia="方正仿宋_GBK"/>
          <w:color w:val="000000"/>
          <w:sz w:val="32"/>
          <w:szCs w:val="32"/>
          <w:lang w:val="en-US" w:eastAsia="zh-CN"/>
        </w:rPr>
        <w:t>1523.64</w:t>
      </w:r>
      <w:r>
        <w:rPr>
          <w:rFonts w:hint="default" w:ascii="Times New Roman" w:hAnsi="Times New Roman" w:eastAsia="方正仿宋_GBK" w:cs="Times New Roman"/>
          <w:color w:val="000000"/>
          <w:kern w:val="0"/>
          <w:sz w:val="32"/>
          <w:szCs w:val="32"/>
          <w:lang w:val="en-US" w:eastAsia="zh-CN" w:bidi="ar"/>
        </w:rPr>
        <w:t xml:space="preserve">万元）， 无应重点关注的专项支出。评价时段为 2025 年 1 月 1 日至 12 月 31日。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楷体_GBK" w:hAnsi="方正楷体_GBK" w:eastAsia="方正楷体_GBK" w:cs="方正楷体_GBK"/>
          <w:bCs/>
          <w:color w:val="000000"/>
          <w:sz w:val="32"/>
          <w:szCs w:val="32"/>
        </w:rPr>
      </w:pPr>
      <w:r>
        <w:rPr>
          <w:rFonts w:hint="eastAsia" w:ascii="方正楷体_GBK" w:hAnsi="方正楷体_GBK" w:eastAsia="方正楷体_GBK" w:cs="方正楷体_GBK"/>
          <w:bCs/>
          <w:color w:val="000000"/>
          <w:sz w:val="32"/>
          <w:szCs w:val="32"/>
        </w:rPr>
        <w:t>（二）</w:t>
      </w:r>
      <w:r>
        <w:rPr>
          <w:rFonts w:hint="eastAsia" w:ascii="方正楷体_GBK" w:hAnsi="方正楷体_GBK" w:eastAsia="方正楷体_GBK" w:cs="方正楷体_GBK"/>
          <w:bCs/>
          <w:color w:val="000000"/>
          <w:sz w:val="32"/>
          <w:szCs w:val="32"/>
          <w:lang w:val="en-US" w:eastAsia="zh-CN"/>
        </w:rPr>
        <w:t>绩效评价结论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仿宋"/>
          <w:kern w:val="0"/>
          <w:sz w:val="32"/>
          <w:szCs w:val="32"/>
        </w:rPr>
      </w:pPr>
      <w:r>
        <w:rPr>
          <w:rFonts w:hint="eastAsia" w:ascii="Times New Roman" w:hAnsi="Times New Roman" w:eastAsia="方正仿宋_GBK" w:cs="仿宋"/>
          <w:kern w:val="0"/>
          <w:sz w:val="32"/>
          <w:szCs w:val="32"/>
        </w:rPr>
        <w:t>2025年，</w:t>
      </w:r>
      <w:r>
        <w:rPr>
          <w:rFonts w:hint="eastAsia" w:ascii="Times New Roman" w:hAnsi="Times New Roman" w:eastAsia="方正仿宋_GBK"/>
          <w:color w:val="000000"/>
          <w:sz w:val="32"/>
          <w:szCs w:val="32"/>
        </w:rPr>
        <w:t>南京市公安局地铁分局</w:t>
      </w:r>
      <w:r>
        <w:rPr>
          <w:rFonts w:hint="eastAsia" w:ascii="Times New Roman" w:hAnsi="Times New Roman" w:eastAsia="方正仿宋_GBK" w:cs="仿宋"/>
          <w:kern w:val="0"/>
          <w:sz w:val="32"/>
          <w:szCs w:val="32"/>
        </w:rPr>
        <w:t>在市局党委的坚强领导下，坚持以习近平新时代中国特色社会主义思想为指导，深入贯彻党的二十大和二十届四中全会精神，大力推进现代警务战略，着力完善主战主防体系，加快提升公安机关新质战斗力，全力以赴投入到防风险、保安全、护稳定、促发展工作中，持续营造安全稳定公共交通领域治安环境。</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方正仿宋_GBK"/>
        </w:rPr>
      </w:pPr>
      <w:r>
        <w:rPr>
          <w:rFonts w:hint="default" w:ascii="Times New Roman" w:hAnsi="Times New Roman" w:eastAsia="方正仿宋_GBK" w:cs="Times New Roman"/>
          <w:sz w:val="32"/>
          <w:szCs w:val="32"/>
        </w:rPr>
        <w:t>经综合评价，2025年度</w:t>
      </w:r>
      <w:r>
        <w:rPr>
          <w:rFonts w:hint="eastAsia" w:ascii="Times New Roman" w:hAnsi="Times New Roman" w:eastAsia="方正仿宋_GBK"/>
          <w:color w:val="000000"/>
          <w:sz w:val="32"/>
          <w:szCs w:val="32"/>
        </w:rPr>
        <w:t>南京市公安局地铁分局</w:t>
      </w:r>
      <w:r>
        <w:rPr>
          <w:rFonts w:hint="default" w:ascii="Times New Roman" w:hAnsi="Times New Roman" w:eastAsia="方正仿宋_GBK" w:cs="Times New Roman"/>
          <w:sz w:val="32"/>
          <w:szCs w:val="32"/>
        </w:rPr>
        <w:t>整体绩效评价得分98分，等级为“优”。</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黑体_GBK" w:cs="Times New Roman"/>
          <w:color w:val="000000"/>
          <w:kern w:val="0"/>
          <w:sz w:val="32"/>
          <w:szCs w:val="32"/>
        </w:rPr>
      </w:pPr>
      <w:r>
        <w:rPr>
          <w:rFonts w:hint="eastAsia" w:ascii="Times New Roman" w:hAnsi="Times New Roman" w:eastAsia="方正黑体_GBK" w:cs="Times New Roman"/>
          <w:color w:val="000000"/>
          <w:kern w:val="0"/>
          <w:sz w:val="32"/>
          <w:szCs w:val="32"/>
        </w:rPr>
        <w:t>三、部门履职成效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w:t>
      </w:r>
      <w:r>
        <w:rPr>
          <w:rFonts w:hint="eastAsia" w:ascii="Times New Roman" w:hAnsi="Times New Roman" w:eastAsia="方正仿宋_GBK" w:cs="Times New Roman"/>
          <w:color w:val="000000"/>
          <w:kern w:val="0"/>
          <w:sz w:val="32"/>
          <w:szCs w:val="32"/>
          <w:shd w:val="clear" w:color="auto" w:fill="FFFFFF"/>
          <w:lang w:val="en-US" w:eastAsia="zh-CN" w:bidi="ar"/>
        </w:rPr>
        <w:t>我局在市局党委的坚强领导下，以高效运转“专业+机制+大数据”新型警务运行模式为突破口，牵引推动“主战主防”各项工作蝶变升级，全力以赴维护地铁区域平安稳定。</w:t>
      </w:r>
      <w:r>
        <w:rPr>
          <w:rFonts w:hint="default" w:ascii="Times New Roman" w:hAnsi="Times New Roman" w:eastAsia="方正仿宋_GBK" w:cs="Times New Roman"/>
          <w:color w:val="000000"/>
          <w:kern w:val="0"/>
          <w:sz w:val="32"/>
          <w:szCs w:val="32"/>
          <w:shd w:val="clear" w:color="auto" w:fill="FFFFFF"/>
          <w:lang w:val="en-US" w:eastAsia="zh-CN" w:bidi="ar"/>
        </w:rPr>
        <w:t>一</w:t>
      </w:r>
      <w:r>
        <w:rPr>
          <w:rFonts w:hint="eastAsia" w:ascii="Times New Roman" w:hAnsi="Times New Roman" w:eastAsia="方正仿宋_GBK" w:cs="Times New Roman"/>
          <w:color w:val="000000"/>
          <w:kern w:val="0"/>
          <w:sz w:val="32"/>
          <w:szCs w:val="32"/>
          <w:shd w:val="clear" w:color="auto" w:fill="FFFFFF"/>
          <w:lang w:val="en-US" w:eastAsia="zh-CN" w:bidi="ar"/>
        </w:rPr>
        <w:t>是</w:t>
      </w:r>
      <w:r>
        <w:rPr>
          <w:rFonts w:hint="default" w:ascii="Times New Roman" w:hAnsi="Times New Roman" w:eastAsia="方正仿宋_GBK" w:cs="Times New Roman"/>
          <w:color w:val="000000"/>
          <w:kern w:val="0"/>
          <w:sz w:val="32"/>
          <w:szCs w:val="32"/>
          <w:shd w:val="clear" w:color="auto" w:fill="FFFFFF"/>
          <w:lang w:val="en-US" w:eastAsia="zh-CN" w:bidi="ar"/>
        </w:rPr>
        <w:t>践行初心使命，以最强担当守护</w:t>
      </w:r>
      <w:r>
        <w:rPr>
          <w:rFonts w:hint="eastAsia" w:ascii="Times New Roman" w:hAnsi="Times New Roman" w:eastAsia="方正仿宋_GBK" w:cs="Times New Roman"/>
          <w:color w:val="000000"/>
          <w:kern w:val="0"/>
          <w:sz w:val="32"/>
          <w:szCs w:val="32"/>
          <w:shd w:val="clear" w:color="auto" w:fill="FFFFFF"/>
          <w:lang w:val="en-US" w:eastAsia="zh-CN" w:bidi="ar"/>
        </w:rPr>
        <w:t>地铁</w:t>
      </w:r>
      <w:r>
        <w:rPr>
          <w:rFonts w:hint="default" w:ascii="Times New Roman" w:hAnsi="Times New Roman" w:eastAsia="方正仿宋_GBK" w:cs="Times New Roman"/>
          <w:color w:val="000000"/>
          <w:kern w:val="0"/>
          <w:sz w:val="32"/>
          <w:szCs w:val="32"/>
          <w:shd w:val="clear" w:color="auto" w:fill="FFFFFF"/>
          <w:lang w:val="en-US" w:eastAsia="zh-CN" w:bidi="ar"/>
        </w:rPr>
        <w:t>交通新秩序。科学划分全市262座</w:t>
      </w:r>
      <w:r>
        <w:rPr>
          <w:rFonts w:hint="eastAsia" w:ascii="Times New Roman" w:hAnsi="Times New Roman" w:eastAsia="方正仿宋_GBK" w:cs="Times New Roman"/>
          <w:color w:val="000000"/>
          <w:kern w:val="0"/>
          <w:sz w:val="32"/>
          <w:szCs w:val="32"/>
          <w:shd w:val="clear" w:color="auto" w:fill="FFFFFF"/>
          <w:lang w:val="en-US" w:eastAsia="zh-CN" w:bidi="ar"/>
        </w:rPr>
        <w:t>地铁</w:t>
      </w:r>
      <w:r>
        <w:rPr>
          <w:rFonts w:hint="default" w:ascii="Times New Roman" w:hAnsi="Times New Roman" w:eastAsia="方正仿宋_GBK" w:cs="Times New Roman"/>
          <w:color w:val="000000"/>
          <w:kern w:val="0"/>
          <w:sz w:val="32"/>
          <w:szCs w:val="32"/>
          <w:shd w:val="clear" w:color="auto" w:fill="FFFFFF"/>
          <w:lang w:val="en-US" w:eastAsia="zh-CN" w:bidi="ar"/>
        </w:rPr>
        <w:t>车站管理层级，圆满完成国家公祭仪式、秦淮灯会、“苏超”、南京马拉松等重大安保任务。锚定“八个不发生”目标，常态化组织实战拉动，打造“无人机+警犬”</w:t>
      </w:r>
      <w:r>
        <w:rPr>
          <w:rFonts w:hint="eastAsia" w:ascii="Times New Roman" w:hAnsi="Times New Roman" w:eastAsia="方正仿宋_GBK" w:cs="Times New Roman"/>
          <w:color w:val="000000"/>
          <w:kern w:val="0"/>
          <w:sz w:val="32"/>
          <w:szCs w:val="32"/>
          <w:shd w:val="clear" w:color="auto" w:fill="FFFFFF"/>
          <w:lang w:val="en-US" w:eastAsia="zh-CN" w:bidi="ar"/>
        </w:rPr>
        <w:t>等特色</w:t>
      </w:r>
      <w:r>
        <w:rPr>
          <w:rFonts w:hint="default" w:ascii="Times New Roman" w:hAnsi="Times New Roman" w:eastAsia="方正仿宋_GBK" w:cs="Times New Roman"/>
          <w:color w:val="000000"/>
          <w:kern w:val="0"/>
          <w:sz w:val="32"/>
          <w:szCs w:val="32"/>
          <w:shd w:val="clear" w:color="auto" w:fill="FFFFFF"/>
          <w:lang w:val="en-US" w:eastAsia="zh-CN" w:bidi="ar"/>
        </w:rPr>
        <w:t>技战法。二</w:t>
      </w:r>
      <w:r>
        <w:rPr>
          <w:rFonts w:hint="eastAsia" w:ascii="Times New Roman" w:hAnsi="Times New Roman" w:eastAsia="方正仿宋_GBK" w:cs="Times New Roman"/>
          <w:color w:val="000000"/>
          <w:kern w:val="0"/>
          <w:sz w:val="32"/>
          <w:szCs w:val="32"/>
          <w:shd w:val="clear" w:color="auto" w:fill="FFFFFF"/>
          <w:lang w:val="en-US" w:eastAsia="zh-CN" w:bidi="ar"/>
        </w:rPr>
        <w:t>是</w:t>
      </w:r>
      <w:r>
        <w:rPr>
          <w:rFonts w:hint="default" w:ascii="Times New Roman" w:hAnsi="Times New Roman" w:eastAsia="方正仿宋_GBK" w:cs="Times New Roman"/>
          <w:color w:val="000000"/>
          <w:kern w:val="0"/>
          <w:sz w:val="32"/>
          <w:szCs w:val="32"/>
          <w:shd w:val="clear" w:color="auto" w:fill="FFFFFF"/>
          <w:lang w:val="en-US" w:eastAsia="zh-CN" w:bidi="ar"/>
        </w:rPr>
        <w:t>聚焦服务发展，以最优作风回应人民群众新期盼。针对电信网络诈骗，打造“地铁警方直通车”</w:t>
      </w:r>
      <w:r>
        <w:rPr>
          <w:rFonts w:hint="eastAsia" w:ascii="Times New Roman" w:hAnsi="Times New Roman" w:eastAsia="方正仿宋_GBK" w:cs="Times New Roman"/>
          <w:color w:val="000000"/>
          <w:kern w:val="0"/>
          <w:sz w:val="32"/>
          <w:szCs w:val="32"/>
          <w:shd w:val="clear" w:color="auto" w:fill="FFFFFF"/>
          <w:lang w:val="en-US" w:eastAsia="zh-CN" w:bidi="ar"/>
        </w:rPr>
        <w:t>反诈</w:t>
      </w:r>
      <w:r>
        <w:rPr>
          <w:rFonts w:hint="default" w:ascii="Times New Roman" w:hAnsi="Times New Roman" w:eastAsia="方正仿宋_GBK" w:cs="Times New Roman"/>
          <w:color w:val="000000"/>
          <w:kern w:val="0"/>
          <w:sz w:val="32"/>
          <w:szCs w:val="32"/>
          <w:shd w:val="clear" w:color="auto" w:fill="FFFFFF"/>
          <w:lang w:val="en-US" w:eastAsia="zh-CN" w:bidi="ar"/>
        </w:rPr>
        <w:t>品牌，在市职工技能反诈宣讲劝阻竞赛中荣获第二名。三</w:t>
      </w:r>
      <w:r>
        <w:rPr>
          <w:rFonts w:hint="eastAsia" w:ascii="Times New Roman" w:hAnsi="Times New Roman" w:eastAsia="方正仿宋_GBK" w:cs="Times New Roman"/>
          <w:color w:val="000000"/>
          <w:kern w:val="0"/>
          <w:sz w:val="32"/>
          <w:szCs w:val="32"/>
          <w:shd w:val="clear" w:color="auto" w:fill="FFFFFF"/>
          <w:lang w:val="en-US" w:eastAsia="zh-CN" w:bidi="ar"/>
        </w:rPr>
        <w:t>是</w:t>
      </w:r>
      <w:r>
        <w:rPr>
          <w:rFonts w:hint="default" w:ascii="Times New Roman" w:hAnsi="Times New Roman" w:eastAsia="方正仿宋_GBK" w:cs="Times New Roman"/>
          <w:color w:val="000000"/>
          <w:kern w:val="0"/>
          <w:sz w:val="32"/>
          <w:szCs w:val="32"/>
          <w:shd w:val="clear" w:color="auto" w:fill="FFFFFF"/>
          <w:lang w:val="en-US" w:eastAsia="zh-CN" w:bidi="ar"/>
        </w:rPr>
        <w:t>注重实战引领，以最硬举措提高平安建设新效能。高效运行全市首家一级赋能中心，</w:t>
      </w:r>
      <w:r>
        <w:rPr>
          <w:rFonts w:hint="eastAsia" w:ascii="Times New Roman" w:hAnsi="Times New Roman" w:eastAsia="方正仿宋_GBK" w:cs="Times New Roman"/>
          <w:color w:val="000000"/>
          <w:kern w:val="0"/>
          <w:sz w:val="32"/>
          <w:szCs w:val="32"/>
          <w:shd w:val="clear" w:color="auto" w:fill="FFFFFF"/>
          <w:lang w:val="en-US" w:eastAsia="zh-CN" w:bidi="ar"/>
        </w:rPr>
        <w:t>搭建各类实战数据模型，</w:t>
      </w:r>
      <w:r>
        <w:rPr>
          <w:rFonts w:hint="default" w:ascii="Times New Roman" w:hAnsi="Times New Roman" w:eastAsia="方正仿宋_GBK" w:cs="Times New Roman"/>
          <w:color w:val="000000"/>
          <w:kern w:val="0"/>
          <w:sz w:val="32"/>
          <w:szCs w:val="32"/>
          <w:shd w:val="clear" w:color="auto" w:fill="FFFFFF"/>
          <w:lang w:val="en-US" w:eastAsia="zh-CN" w:bidi="ar"/>
        </w:rPr>
        <w:t>先后在公安部、省厅高等级建模竞赛中荣获条线一等奖。推进公共安全大排查大起底等行动，开展安检技能专项提升行动，多措并举闭环整改隐患。四</w:t>
      </w:r>
      <w:r>
        <w:rPr>
          <w:rFonts w:hint="eastAsia" w:ascii="Times New Roman" w:hAnsi="Times New Roman" w:eastAsia="方正仿宋_GBK" w:cs="Times New Roman"/>
          <w:color w:val="000000"/>
          <w:kern w:val="0"/>
          <w:sz w:val="32"/>
          <w:szCs w:val="32"/>
          <w:shd w:val="clear" w:color="auto" w:fill="FFFFFF"/>
          <w:lang w:val="en-US" w:eastAsia="zh-CN" w:bidi="ar"/>
        </w:rPr>
        <w:t>是</w:t>
      </w:r>
      <w:r>
        <w:rPr>
          <w:rFonts w:hint="default" w:ascii="Times New Roman" w:hAnsi="Times New Roman" w:eastAsia="方正仿宋_GBK" w:cs="Times New Roman"/>
          <w:color w:val="000000"/>
          <w:kern w:val="0"/>
          <w:sz w:val="32"/>
          <w:szCs w:val="32"/>
          <w:shd w:val="clear" w:color="auto" w:fill="FFFFFF"/>
          <w:lang w:val="en-US" w:eastAsia="zh-CN" w:bidi="ar"/>
        </w:rPr>
        <w:t>强化能力提升，以最严标准擦亮铁军队伍新面貌。</w:t>
      </w:r>
      <w:r>
        <w:rPr>
          <w:rFonts w:hint="eastAsia" w:ascii="Times New Roman" w:hAnsi="Times New Roman" w:eastAsia="方正仿宋_GBK" w:cs="Times New Roman"/>
          <w:color w:val="000000"/>
          <w:kern w:val="0"/>
          <w:sz w:val="32"/>
          <w:szCs w:val="32"/>
          <w:shd w:val="clear" w:color="auto" w:fill="FFFFFF"/>
          <w:lang w:val="en-US" w:eastAsia="zh-CN" w:bidi="ar"/>
        </w:rPr>
        <w:t>深入</w:t>
      </w:r>
      <w:r>
        <w:rPr>
          <w:rFonts w:hint="default" w:ascii="Times New Roman" w:hAnsi="Times New Roman" w:eastAsia="方正仿宋_GBK" w:cs="Times New Roman"/>
          <w:color w:val="000000"/>
          <w:kern w:val="0"/>
          <w:sz w:val="32"/>
          <w:szCs w:val="32"/>
          <w:shd w:val="clear" w:color="auto" w:fill="FFFFFF"/>
          <w:lang w:val="en-US" w:eastAsia="zh-CN" w:bidi="ar"/>
        </w:rPr>
        <w:t>学习</w:t>
      </w:r>
      <w:r>
        <w:rPr>
          <w:rFonts w:hint="eastAsia" w:ascii="Times New Roman" w:hAnsi="Times New Roman" w:eastAsia="方正仿宋_GBK" w:cs="Times New Roman"/>
          <w:color w:val="000000"/>
          <w:kern w:val="0"/>
          <w:sz w:val="32"/>
          <w:szCs w:val="32"/>
          <w:shd w:val="clear" w:color="auto" w:fill="FFFFFF"/>
          <w:lang w:val="en-US" w:eastAsia="zh-CN" w:bidi="ar"/>
        </w:rPr>
        <w:t>贯彻</w:t>
      </w:r>
      <w:r>
        <w:rPr>
          <w:rFonts w:hint="default" w:ascii="Times New Roman" w:hAnsi="Times New Roman" w:eastAsia="方正仿宋_GBK" w:cs="Times New Roman"/>
          <w:color w:val="000000"/>
          <w:kern w:val="0"/>
          <w:sz w:val="32"/>
          <w:szCs w:val="32"/>
          <w:shd w:val="clear" w:color="auto" w:fill="FFFFFF"/>
          <w:lang w:val="en-US" w:eastAsia="zh-CN" w:bidi="ar"/>
        </w:rPr>
        <w:t>习近平总书记</w:t>
      </w:r>
      <w:r>
        <w:rPr>
          <w:rFonts w:hint="eastAsia" w:ascii="Times New Roman" w:hAnsi="Times New Roman" w:eastAsia="方正仿宋_GBK" w:cs="Times New Roman"/>
          <w:color w:val="000000"/>
          <w:kern w:val="0"/>
          <w:sz w:val="32"/>
          <w:szCs w:val="32"/>
          <w:shd w:val="clear" w:color="auto" w:fill="FFFFFF"/>
          <w:lang w:val="en-US" w:eastAsia="zh-CN" w:bidi="ar"/>
        </w:rPr>
        <w:t>重要</w:t>
      </w:r>
      <w:r>
        <w:rPr>
          <w:rFonts w:hint="default" w:ascii="Times New Roman" w:hAnsi="Times New Roman" w:eastAsia="方正仿宋_GBK" w:cs="Times New Roman"/>
          <w:color w:val="000000"/>
          <w:kern w:val="0"/>
          <w:sz w:val="32"/>
          <w:szCs w:val="32"/>
          <w:shd w:val="clear" w:color="auto" w:fill="FFFFFF"/>
          <w:lang w:val="en-US" w:eastAsia="zh-CN" w:bidi="ar"/>
        </w:rPr>
        <w:t>讲话精神以及党的二十届四中全会精神，开展贯彻中央八项规定精神学习教育，锤炼全警铁一般的理想信念。扎实</w:t>
      </w:r>
      <w:r>
        <w:rPr>
          <w:rFonts w:hint="eastAsia" w:ascii="Times New Roman" w:hAnsi="Times New Roman" w:eastAsia="方正仿宋_GBK" w:cs="Times New Roman"/>
          <w:color w:val="000000"/>
          <w:kern w:val="0"/>
          <w:sz w:val="32"/>
          <w:szCs w:val="32"/>
          <w:shd w:val="clear" w:color="auto" w:fill="FFFFFF"/>
          <w:lang w:val="en-US" w:eastAsia="zh-CN" w:bidi="ar"/>
        </w:rPr>
        <w:t>做好</w:t>
      </w:r>
      <w:r>
        <w:rPr>
          <w:rFonts w:hint="default" w:ascii="Times New Roman" w:hAnsi="Times New Roman" w:eastAsia="方正仿宋_GBK" w:cs="Times New Roman"/>
          <w:color w:val="000000"/>
          <w:kern w:val="0"/>
          <w:sz w:val="32"/>
          <w:szCs w:val="32"/>
          <w:shd w:val="clear" w:color="auto" w:fill="FFFFFF"/>
          <w:lang w:val="en-US" w:eastAsia="zh-CN" w:bidi="ar"/>
        </w:rPr>
        <w:t>群众身边不正之风和腐败问题集中整治，以“枪酒密”管理为“小切口”，全力营造风清气正警营生态。</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黑体_GBK" w:cs="Times New Roman"/>
          <w:color w:val="000000"/>
          <w:kern w:val="0"/>
          <w:sz w:val="32"/>
          <w:szCs w:val="32"/>
        </w:rPr>
      </w:pPr>
      <w:r>
        <w:rPr>
          <w:rFonts w:hint="eastAsia" w:ascii="Times New Roman" w:hAnsi="Times New Roman" w:eastAsia="方正黑体_GBK" w:cs="Times New Roman"/>
          <w:color w:val="000000"/>
          <w:kern w:val="0"/>
          <w:sz w:val="32"/>
          <w:szCs w:val="32"/>
        </w:rPr>
        <w:t>四、存在问题及原因分析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办案经费需求较大。究其原因：一是案件类型复杂，涉及跨区域取证调查，差旅费等费用支出逐年增加；二是证据固定和鉴定环节要求高，相关司法鉴定等费用支出金额较大；三是案件类型往电信化等方向发展，信息化办案取证手段应用频繁，案件复杂程度大大增加，单起案件办案成本大幅增加。</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黑体_GBK" w:cs="Times New Roman"/>
          <w:color w:val="000000"/>
          <w:kern w:val="0"/>
          <w:sz w:val="32"/>
          <w:szCs w:val="32"/>
        </w:rPr>
      </w:pPr>
      <w:r>
        <w:rPr>
          <w:rFonts w:hint="eastAsia" w:ascii="Times New Roman" w:hAnsi="Times New Roman" w:eastAsia="方正黑体_GBK" w:cs="Times New Roman"/>
          <w:color w:val="000000"/>
          <w:kern w:val="0"/>
          <w:sz w:val="32"/>
          <w:szCs w:val="32"/>
        </w:rPr>
        <w:t>五、有关建议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建议市财政局加大对办案经费的支持力度。</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黑体_GBK" w:cs="Times New Roman"/>
          <w:color w:val="000000"/>
          <w:kern w:val="0"/>
          <w:sz w:val="32"/>
          <w:szCs w:val="32"/>
        </w:rPr>
      </w:pPr>
      <w:r>
        <w:rPr>
          <w:rFonts w:hint="eastAsia" w:ascii="Times New Roman" w:hAnsi="Times New Roman" w:eastAsia="方正黑体_GBK" w:cs="Times New Roman"/>
          <w:color w:val="000000"/>
          <w:kern w:val="0"/>
          <w:sz w:val="32"/>
          <w:szCs w:val="32"/>
        </w:rPr>
        <w:t>六、评价工作开展情况及其他需要说明的情况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楷体_GBK" w:hAnsi="方正楷体_GBK" w:eastAsia="方正楷体_GBK" w:cs="方正楷体_GBK"/>
          <w:bCs/>
          <w:color w:val="000000"/>
          <w:sz w:val="32"/>
          <w:szCs w:val="32"/>
        </w:rPr>
      </w:pPr>
      <w:r>
        <w:rPr>
          <w:rFonts w:hint="eastAsia" w:ascii="方正楷体_GBK" w:hAnsi="方正楷体_GBK" w:eastAsia="方正楷体_GBK" w:cs="方正楷体_GBK"/>
          <w:bCs/>
          <w:color w:val="000000"/>
          <w:sz w:val="32"/>
          <w:szCs w:val="32"/>
        </w:rPr>
        <w:t>（一）绩效评价工作情况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1.评价思路及方法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本着客观公正、实事求是的原则，对照全年绩效目标，采用因素分析法、投入产出效益分析法、比较法等方法，围绕预算资金管理、职责履行、履职效益等内容进行全面、客观、公正的绩效考评。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2.评价组织及分工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我单位建立了以分局局长为评价组长，分管领导为事项主评人，警务保障室、政工室、情报指挥中心和督查审计大队主要负责人为组员的评价小组，并明确组长和组员的工作职责。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3.评价过程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采用自下而上的评价过程。各内设机构先组织开展自评，将自评结果上报分局评价小组。评价小组结合自评结果开展综合评价并形成评价报告。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4.评价指标体系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2025年南京市公安局地铁分局部门整体绩效评价指标体系共设计5个一级指标，17个二级指标，40个三级指标。详见附件。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楷体_GBK" w:hAnsi="方正楷体_GBK" w:eastAsia="方正楷体_GBK" w:cs="方正楷体_GBK"/>
          <w:bCs/>
          <w:color w:val="000000"/>
          <w:sz w:val="32"/>
          <w:szCs w:val="32"/>
          <w:lang w:val="en-US" w:eastAsia="zh-CN"/>
        </w:rPr>
      </w:pPr>
      <w:r>
        <w:rPr>
          <w:rFonts w:hint="eastAsia" w:ascii="方正楷体_GBK" w:hAnsi="方正楷体_GBK" w:eastAsia="方正楷体_GBK" w:cs="方正楷体_GBK"/>
          <w:bCs/>
          <w:color w:val="000000"/>
          <w:sz w:val="32"/>
          <w:szCs w:val="32"/>
          <w:lang w:val="en-US" w:eastAsia="zh-CN"/>
        </w:rPr>
        <w:t>（二）其他需要说明的情况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Times New Roman" w:hAnsi="Times New Roman" w:eastAsia="方正仿宋_GBK" w:cs="Times New Roman"/>
          <w:color w:val="000000"/>
          <w:kern w:val="0"/>
          <w:sz w:val="32"/>
          <w:szCs w:val="32"/>
          <w:shd w:val="clear" w:color="auto" w:fill="FFFFFF"/>
          <w:lang w:val="en-US" w:eastAsia="zh-CN" w:bidi="ar"/>
        </w:rPr>
        <w:t>无。</w:t>
      </w:r>
    </w:p>
    <w:p>
      <w:pPr>
        <w:rPr>
          <w:rFonts w:hint="eastAsia"/>
          <w:lang w:val="en-US" w:eastAsia="zh-CN"/>
        </w:rPr>
      </w:pPr>
    </w:p>
    <w:p>
      <w:pPr>
        <w:pStyle w:val="2"/>
        <w:ind w:left="0" w:leftChars="0" w:firstLine="0" w:firstLineChars="0"/>
        <w:rPr>
          <w:rFonts w:hint="default" w:ascii="Times New Roman" w:hAnsi="Times New Roman" w:eastAsia="方正黑体简体" w:cs="Times New Roman"/>
          <w:bCs/>
          <w:color w:val="000000"/>
          <w:sz w:val="32"/>
          <w:szCs w:val="32"/>
          <w:lang w:val="en-US" w:eastAsia="zh-CN"/>
        </w:rPr>
      </w:pPr>
      <w:r>
        <w:rPr>
          <w:rFonts w:ascii="Times New Roman" w:hAnsi="Times New Roman" w:eastAsia="方正仿宋_GBK" w:cs="Times New Roman"/>
          <w:kern w:val="0"/>
          <w:sz w:val="32"/>
          <w:szCs w:val="32"/>
        </w:rPr>
        <w:t>附件：南京市公安局</w:t>
      </w:r>
      <w:r>
        <w:rPr>
          <w:rFonts w:hint="eastAsia" w:eastAsia="方正仿宋_GBK" w:cs="Times New Roman"/>
          <w:kern w:val="0"/>
          <w:sz w:val="32"/>
          <w:szCs w:val="32"/>
          <w:lang w:eastAsia="zh-CN"/>
        </w:rPr>
        <w:t>地铁</w:t>
      </w:r>
      <w:r>
        <w:rPr>
          <w:rFonts w:ascii="Times New Roman" w:hAnsi="Times New Roman" w:eastAsia="方正仿宋_GBK" w:cs="Times New Roman"/>
          <w:kern w:val="0"/>
          <w:sz w:val="32"/>
          <w:szCs w:val="32"/>
        </w:rPr>
        <w:t>分局部门整体绩效评价指标</w:t>
      </w:r>
      <w:r>
        <w:rPr>
          <w:rFonts w:hint="eastAsia" w:ascii="Times New Roman" w:hAnsi="Times New Roman" w:eastAsia="方正仿宋_GBK" w:cs="Times New Roman"/>
          <w:kern w:val="0"/>
          <w:sz w:val="32"/>
          <w:szCs w:val="32"/>
          <w:lang w:eastAsia="zh-CN"/>
        </w:rPr>
        <w:t>体系</w:t>
      </w:r>
    </w:p>
    <w:p>
      <w:pPr>
        <w:rPr>
          <w:rFonts w:hint="default" w:ascii="Times New Roman" w:hAnsi="Times New Roman" w:eastAsia="方正黑体简体" w:cs="Times New Roman"/>
          <w:bCs/>
          <w:color w:val="000000"/>
          <w:sz w:val="32"/>
          <w:szCs w:val="32"/>
          <w:lang w:val="en-US" w:eastAsia="zh-CN"/>
        </w:rPr>
      </w:pPr>
    </w:p>
    <w:p>
      <w:pPr>
        <w:pStyle w:val="2"/>
        <w:rPr>
          <w:rFonts w:hint="default"/>
          <w:lang w:val="en-US" w:eastAsia="zh-CN"/>
        </w:rPr>
        <w:sectPr>
          <w:footerReference r:id="rId3" w:type="default"/>
          <w:pgSz w:w="11906" w:h="16838"/>
          <w:pgMar w:top="1440" w:right="1800" w:bottom="1440" w:left="1800" w:header="851" w:footer="992" w:gutter="0"/>
          <w:cols w:space="720" w:num="1"/>
          <w:docGrid w:type="lines" w:linePitch="312" w:charSpace="0"/>
        </w:sectPr>
      </w:pPr>
    </w:p>
    <w:p>
      <w:pPr>
        <w:spacing w:line="600" w:lineRule="exact"/>
        <w:jc w:val="center"/>
        <w:rPr>
          <w:rFonts w:hint="eastAsia" w:ascii="方正小标宋_GBK" w:hAnsi="方正小标宋_GBK" w:eastAsia="方正小标宋_GBK" w:cs="方正小标宋_GBK"/>
          <w:color w:val="000000" w:themeColor="text1"/>
          <w:sz w:val="36"/>
          <w:szCs w:val="36"/>
        </w:rPr>
      </w:pPr>
      <w:r>
        <w:rPr>
          <w:rFonts w:hint="eastAsia" w:ascii="方正小标宋_GBK" w:hAnsi="方正小标宋_GBK" w:eastAsia="方正小标宋_GBK" w:cs="方正小标宋_GBK"/>
          <w:color w:val="000000" w:themeColor="text1"/>
          <w:sz w:val="36"/>
          <w:szCs w:val="36"/>
        </w:rPr>
        <w:t>南京市公安局地铁分局部门整体绩效评价指标体系</w:t>
      </w:r>
    </w:p>
    <w:p>
      <w:pPr>
        <w:spacing w:line="600" w:lineRule="exact"/>
        <w:rPr>
          <w:rFonts w:ascii="Times New Roman" w:hAnsi="Times New Roman" w:eastAsia="方正小标宋简体"/>
          <w:color w:val="000000" w:themeColor="text1"/>
          <w:sz w:val="36"/>
          <w:szCs w:val="36"/>
        </w:rPr>
      </w:pPr>
    </w:p>
    <w:tbl>
      <w:tblPr>
        <w:tblStyle w:val="11"/>
        <w:tblW w:w="10682" w:type="dxa"/>
        <w:tblInd w:w="0" w:type="dxa"/>
        <w:tblLayout w:type="fixed"/>
        <w:tblCellMar>
          <w:top w:w="0" w:type="dxa"/>
          <w:left w:w="108" w:type="dxa"/>
          <w:bottom w:w="0" w:type="dxa"/>
          <w:right w:w="108" w:type="dxa"/>
        </w:tblCellMar>
      </w:tblPr>
      <w:tblGrid>
        <w:gridCol w:w="813"/>
        <w:gridCol w:w="873"/>
        <w:gridCol w:w="1157"/>
        <w:gridCol w:w="763"/>
        <w:gridCol w:w="3180"/>
        <w:gridCol w:w="2774"/>
        <w:gridCol w:w="606"/>
        <w:gridCol w:w="516"/>
      </w:tblGrid>
      <w:tr>
        <w:tblPrEx>
          <w:tblLayout w:type="fixed"/>
          <w:tblCellMar>
            <w:top w:w="0" w:type="dxa"/>
            <w:left w:w="108" w:type="dxa"/>
            <w:bottom w:w="0" w:type="dxa"/>
            <w:right w:w="108" w:type="dxa"/>
          </w:tblCellMar>
        </w:tblPrEx>
        <w:trPr>
          <w:trHeight w:val="315"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一级指标</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二级指标</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三级指标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标准值</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评分标准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评分过程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权重</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得分</w:t>
            </w:r>
          </w:p>
        </w:tc>
      </w:tr>
      <w:tr>
        <w:tblPrEx>
          <w:tblLayout w:type="fixed"/>
          <w:tblCellMar>
            <w:top w:w="0" w:type="dxa"/>
            <w:left w:w="108" w:type="dxa"/>
            <w:bottom w:w="0" w:type="dxa"/>
            <w:right w:w="108" w:type="dxa"/>
          </w:tblCellMar>
        </w:tblPrEx>
        <w:trPr>
          <w:trHeight w:val="630" w:hRule="atLeast"/>
        </w:trPr>
        <w:tc>
          <w:tcPr>
            <w:tcW w:w="8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决策</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计划制定</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中长期规划制定健全性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健全</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单位中长期规划是否明确（1分），科学（1分）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单位中长期规划明确、科学，得2分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工作计划制定健全性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健全</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单位年度工作计划的制定是否明确（1分），科学（1分）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已制定科学明确的年度工作计划，有年度工作要点，得2分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945"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目标设定</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绩效目标合理性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合理</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绩效目标与实际工作内容是否具有相关性（1分），绩效目标是否合理。（1分）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绩效目标与实际工作内容相关，设置合理，得2分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945"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绩效指标明确性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明确</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是否细化分解为具体明确的（1分），指标值是否清晰、可衡量（1分）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绩效指标明确，清晰、可衡量，得2分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Times New Roman" w:hAnsi="Times New Roman" w:eastAsia="方正仿宋_GBK" w:cs="方正仿宋_GBK"/>
                <w:color w:val="000000"/>
                <w:sz w:val="24"/>
                <w:szCs w:val="24"/>
                <w:lang w:eastAsia="zh-CN"/>
              </w:rPr>
            </w:pPr>
            <w:r>
              <w:rPr>
                <w:rFonts w:hint="eastAsia" w:ascii="Times New Roman" w:hAnsi="Times New Roman" w:eastAsia="方正仿宋_GBK" w:cs="方正仿宋_GBK"/>
                <w:color w:val="000000"/>
                <w:kern w:val="0"/>
                <w:sz w:val="24"/>
                <w:szCs w:val="24"/>
                <w:lang w:val="en-US" w:eastAsia="zh-CN"/>
              </w:rPr>
              <w:t>1</w:t>
            </w:r>
          </w:p>
        </w:tc>
      </w:tr>
      <w:tr>
        <w:tblPrEx>
          <w:tblLayout w:type="fixed"/>
          <w:tblCellMar>
            <w:top w:w="0" w:type="dxa"/>
            <w:left w:w="108" w:type="dxa"/>
            <w:bottom w:w="0" w:type="dxa"/>
            <w:right w:w="108" w:type="dxa"/>
          </w:tblCellMar>
        </w:tblPrEx>
        <w:trPr>
          <w:trHeight w:val="945"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预算编制</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预算编制科学性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科学</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预算编制是否经过科学论证（1分），预算额度测算依据是否充分，是否按照标准编制（1分）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预算编制,经过科学论证，预算额度测算依据充分，按照标准编制，得2分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945"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预算编制规范性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规范</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项目是否按照程序规范申请设立（1分），事前是否已经过必要的可行性研究、评估（1分）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项目按照程序规范设立，事前已经过必要的可行性研究、评估，得2分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过程</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预算执行</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预算调整率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预算过程中是否中途变更调整，调整手续是否完备合规（2分）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预算过程中未申请变更调整，得2分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支付进度符合率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是否符合预算批复或合同规定的用途（2分）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支付中不存在截留、挤占、挪用等情况，得2分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预算执行率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单位预算支出的预算执行情况（3分）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按单位预算实际执行率计算，未执行完毕，扣1分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结转结余率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未执行完毕的财政拨款是否结转下年（2分）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未执行完毕的财政拨款均由财政收回，得2分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公用经费控制率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单位对公用经费的控制程度（预、决算比率≦100%，2分）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公用经费，控制在标准范围内，得2分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“三公经费”变动率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单位“三公经费”变动情况，若不变动则不扣分（2分）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“三公经费”未变动，得2分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政府采购执行率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纳入政府采购的资金能否按时执行（2分）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政府采购资金按时执行完毕，得2分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非税收入预算完成率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非税收入能否完成预算目标（2分）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非税收入完成预算目标，得2分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预算管理</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预算管理制度健全性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健全</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单位是否建立有健全完备的预算管理制度（3分）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建立完善健全的预算管理制度，得3分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资金使用合规性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合规</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是否严格按照制度执行资金管理各项工作。（3分）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严格按照制度执行资金管理，资金使用合规，得3分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绩效管理覆盖率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单位预算绩效管理是否全覆盖（2分）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本单位预算绩效管理已全覆盖，得2分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基础信息完善性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完善</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预算管理基础信息是否完善（2分）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本单位预算管理基础信息完善，得2分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945"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预决算信息公开度</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公开</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预决算是否在“双平台”进行公开（1分），内容和时限是否符合要求（2分）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预决算工作已按规定及时进行公开，得3分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非税收入管理合规性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合规</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本单位非税收入管理是否合规（2分）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本单位非税收入管理合规，得2分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资产管理</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资产管理制度健全性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健全</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单位是否建立有健全完备的资产管理制度（3分）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建立完善健全的资产管理制度，得3分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资产管理规范性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规范</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单位资产管理制度执行是否规范、有效（3分）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单位资产管理制度执行规范、有效，得3分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945"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固定资产利用率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固定资产是否完全利用，未闲置（2分）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本单位固定资产定期盘点，充分利用，并纳入公物仓统筹管理，得2分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项目管理</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项目管理制度健全性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健全</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单位是否建立有健全完备的项目管理制度（3分）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建立完善健全的项目管理制度，得3分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项目管理制度执行规范性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规范</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单位项目管理制度执行是否规范、有效（3分）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单位项目管理制度执行规范、有效，得3分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人员管理</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人员管理制度健全性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健全</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单位是否建立有健全完备的人事管理制度（2分）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建立完善健全的人事管理制度，得2分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人员管理制度执行有效性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有效</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单位人员管理制度执行是否规范、有效（2分）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单位人员管理制度执行规范、有效，得2分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在职人员控制率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单位在职人数与核编人数是否匹配（2分）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单位在职人数与核编人数匹配，得2分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机构建设</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组织建设工作及时完成率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组织建设工作是否及时完成（2分）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组织建设工作能够及时完成，得2分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业务学习与培训及时完成率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业务学习与培训是否及时完成（2分）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业务学习与培训及时完成率，得2分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纪检监察工作有效性</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有效</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本单位纪检监察工作是否有效（2分）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本单位纪检监察工作高效有序进行，得2分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315" w:hRule="atLeast"/>
        </w:trPr>
        <w:tc>
          <w:tcPr>
            <w:tcW w:w="8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履职</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公安队伍管理</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窗口服务满意度</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满意</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服务对象对窗口服务满意度（3分）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服务对象对窗口服务满意，得3分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打击违法犯罪</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刑事案件破案率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达标</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地铁区域打击刑事犯罪的工作水平、刑事案件破案率（5分）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刑事案件破案率达标，得5分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5</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5</w:t>
            </w:r>
          </w:p>
        </w:tc>
      </w:tr>
      <w:tr>
        <w:tblPrEx>
          <w:tblLayout w:type="fixed"/>
          <w:tblCellMar>
            <w:top w:w="0" w:type="dxa"/>
            <w:left w:w="108" w:type="dxa"/>
            <w:bottom w:w="0" w:type="dxa"/>
            <w:right w:w="108" w:type="dxa"/>
          </w:tblCellMar>
        </w:tblPrEx>
        <w:trPr>
          <w:trHeight w:val="315"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地铁治安满意度</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满意</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乘客对地铁区域治安满意度（3分）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乘客对地铁区域治安满意，得三分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315"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受理公民报警求助</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110接处警满意度</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满意</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报警人对110接处警满意度（3分）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报警人对110接处警满意，得三分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地铁治安秩序管理</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地铁治安防控力度</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达标</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地铁区域巡防、安保防控力度是否达标（4分）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地铁巡防、安保防控力度达标，得4分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4</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4</w:t>
            </w:r>
          </w:p>
        </w:tc>
      </w:tr>
      <w:tr>
        <w:tblPrEx>
          <w:tblLayout w:type="fixed"/>
          <w:tblCellMar>
            <w:top w:w="0" w:type="dxa"/>
            <w:left w:w="108" w:type="dxa"/>
            <w:bottom w:w="0" w:type="dxa"/>
            <w:right w:w="108" w:type="dxa"/>
          </w:tblCellMar>
        </w:tblPrEx>
        <w:trPr>
          <w:trHeight w:val="945" w:hRule="atLeast"/>
        </w:trPr>
        <w:tc>
          <w:tcPr>
            <w:tcW w:w="813"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效益指标</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社会效益</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维护社会治安秩序</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有效</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单位是否有效预防、制止和侦查违法犯罪活动、维护社会治安秩序，制止危害社会治安秩序的行为（5分）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有效预防、制止和侦查违法犯罪活动、维护社会治安秩序，制止危害社会治安秩序的行为，得5分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5</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5</w:t>
            </w:r>
          </w:p>
        </w:tc>
      </w:tr>
      <w:tr>
        <w:tblPrEx>
          <w:tblLayout w:type="fixed"/>
          <w:tblCellMar>
            <w:top w:w="0" w:type="dxa"/>
            <w:left w:w="108" w:type="dxa"/>
            <w:bottom w:w="0" w:type="dxa"/>
            <w:right w:w="108" w:type="dxa"/>
          </w:tblCellMar>
        </w:tblPrEx>
        <w:trPr>
          <w:trHeight w:val="315" w:hRule="atLeast"/>
        </w:trPr>
        <w:tc>
          <w:tcPr>
            <w:tcW w:w="813"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满意度</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公安队伍满意度</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满意</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社会面对公安队伍满意度（3分）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社会面对公安队伍满意，得3分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3</w:t>
            </w:r>
          </w:p>
        </w:tc>
      </w:tr>
      <w:tr>
        <w:tblPrEx>
          <w:tblLayout w:type="fixed"/>
          <w:tblCellMar>
            <w:top w:w="0" w:type="dxa"/>
            <w:left w:w="108" w:type="dxa"/>
            <w:bottom w:w="0" w:type="dxa"/>
            <w:right w:w="108" w:type="dxa"/>
          </w:tblCellMar>
        </w:tblPrEx>
        <w:trPr>
          <w:trHeight w:val="630" w:hRule="atLeast"/>
        </w:trPr>
        <w:tc>
          <w:tcPr>
            <w:tcW w:w="8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可持续发展能力</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信息化建设</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信息化建设情况</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有效</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单位办公流程、业务开展等是否能通过部门的信息系统实现（2分）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单位办公流程、业务开展等能通过部门的信息系统实现，得2分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630" w:hRule="atLeast"/>
        </w:trPr>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仿宋_GBK" w:cs="方正仿宋_GBK"/>
                <w:color w:val="000000"/>
                <w:sz w:val="24"/>
                <w:szCs w:val="24"/>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部门创新</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部门创新情况</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有效</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单位是否通过制度创新、方法创新等方式不断提高履职能力（2分）</w:t>
            </w: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Cs w:val="21"/>
              </w:rPr>
            </w:pPr>
            <w:r>
              <w:rPr>
                <w:rFonts w:hint="eastAsia" w:ascii="Times New Roman" w:hAnsi="Times New Roman" w:eastAsia="方正仿宋_GBK" w:cs="方正仿宋_GBK"/>
                <w:color w:val="000000"/>
                <w:kern w:val="0"/>
                <w:szCs w:val="21"/>
              </w:rPr>
              <w:t>单位通过制度创新、方法创新等方式不断提高履职能力，得2分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2</w:t>
            </w:r>
          </w:p>
        </w:tc>
      </w:tr>
      <w:tr>
        <w:tblPrEx>
          <w:tblLayout w:type="fixed"/>
          <w:tblCellMar>
            <w:top w:w="0" w:type="dxa"/>
            <w:left w:w="108" w:type="dxa"/>
            <w:bottom w:w="0" w:type="dxa"/>
            <w:right w:w="108" w:type="dxa"/>
          </w:tblCellMar>
        </w:tblPrEx>
        <w:trPr>
          <w:trHeight w:val="570" w:hRule="atLeast"/>
        </w:trPr>
        <w:tc>
          <w:tcPr>
            <w:tcW w:w="95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合    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方正仿宋_GBK" w:cs="方正仿宋_GBK"/>
                <w:color w:val="000000"/>
                <w:sz w:val="24"/>
                <w:szCs w:val="24"/>
              </w:rPr>
            </w:pPr>
            <w:r>
              <w:rPr>
                <w:rFonts w:hint="eastAsia" w:ascii="Times New Roman" w:hAnsi="Times New Roman" w:eastAsia="方正仿宋_GBK" w:cs="方正仿宋_GBK"/>
                <w:color w:val="000000"/>
                <w:kern w:val="0"/>
                <w:sz w:val="24"/>
                <w:szCs w:val="24"/>
              </w:rPr>
              <w:t>100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Times New Roman" w:hAnsi="Times New Roman" w:eastAsia="方正仿宋_GBK" w:cs="方正仿宋_GBK"/>
                <w:color w:val="000000"/>
                <w:sz w:val="24"/>
                <w:szCs w:val="24"/>
                <w:lang w:eastAsia="zh-CN"/>
              </w:rPr>
            </w:pPr>
            <w:r>
              <w:rPr>
                <w:rFonts w:hint="eastAsia" w:ascii="Times New Roman" w:hAnsi="Times New Roman" w:eastAsia="方正仿宋_GBK" w:cs="方正仿宋_GBK"/>
                <w:color w:val="000000"/>
                <w:kern w:val="0"/>
                <w:sz w:val="24"/>
                <w:szCs w:val="24"/>
              </w:rPr>
              <w:t>9</w:t>
            </w:r>
            <w:r>
              <w:rPr>
                <w:rFonts w:hint="eastAsia" w:ascii="Times New Roman" w:hAnsi="Times New Roman" w:eastAsia="方正仿宋_GBK" w:cs="方正仿宋_GBK"/>
                <w:color w:val="000000"/>
                <w:kern w:val="0"/>
                <w:sz w:val="24"/>
                <w:szCs w:val="24"/>
                <w:lang w:val="en-US" w:eastAsia="zh-CN"/>
              </w:rPr>
              <w:t>8</w:t>
            </w:r>
          </w:p>
        </w:tc>
      </w:tr>
    </w:tbl>
    <w:p>
      <w:pPr>
        <w:spacing w:line="600" w:lineRule="exact"/>
        <w:rPr>
          <w:rFonts w:ascii="仿宋" w:hAnsi="仿宋" w:eastAsia="仿宋" w:cs="仿宋"/>
          <w:color w:val="000000" w:themeColor="text1"/>
          <w:sz w:val="32"/>
          <w:szCs w:val="32"/>
          <w:shd w:val="clear" w:color="auto" w:fill="FFFFFF"/>
        </w:rPr>
      </w:pPr>
    </w:p>
    <w:sectPr>
      <w:headerReference r:id="rId4" w:type="default"/>
      <w:footerReference r:id="rId5" w:type="default"/>
      <w:pgSz w:w="11906" w:h="16838"/>
      <w:pgMar w:top="720" w:right="720" w:bottom="720" w:left="720" w:header="850" w:footer="17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1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仿宋">
    <w:panose1 w:val="02010609060101010101"/>
    <w:charset w:val="86"/>
    <w:family w:val="swiss"/>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简体">
    <w:altName w:val="楷体_GB2312"/>
    <w:panose1 w:val="02000000000000000000"/>
    <w:charset w:val="86"/>
    <w:family w:val="auto"/>
    <w:pitch w:val="default"/>
    <w:sig w:usb0="00000000" w:usb1="00000000" w:usb2="00000012" w:usb3="00000000" w:csb0="00040001" w:csb1="00000000"/>
  </w:font>
  <w:font w:name="方正仿宋_GBK">
    <w:panose1 w:val="03000509000000000000"/>
    <w:charset w:val="86"/>
    <w:family w:val="script"/>
    <w:pitch w:val="default"/>
    <w:sig w:usb0="00000001" w:usb1="080E0000" w:usb2="00000000" w:usb3="00000000" w:csb0="00040000" w:csb1="00000000"/>
  </w:font>
  <w:font w:name="方正仿宋简体">
    <w:altName w:val="Arial Unicode MS"/>
    <w:panose1 w:val="02000000000000000000"/>
    <w:charset w:val="86"/>
    <w:family w:val="auto"/>
    <w:pitch w:val="default"/>
    <w:sig w:usb0="00000000" w:usb1="00000000" w:usb2="00000012" w:usb3="00000000" w:csb0="00040001" w:csb1="00000000"/>
  </w:font>
  <w:font w:name="仿宋_GB2312">
    <w:panose1 w:val="02010609030101010101"/>
    <w:charset w:val="86"/>
    <w:family w:val="swiss"/>
    <w:pitch w:val="default"/>
    <w:sig w:usb0="00000001" w:usb1="080E0000" w:usb2="00000000" w:usb3="00000000" w:csb0="00040000" w:csb1="00000000"/>
  </w:font>
  <w:font w:name="楷体">
    <w:panose1 w:val="02010609060101010101"/>
    <w:charset w:val="86"/>
    <w:family w:val="swiss"/>
    <w:pitch w:val="default"/>
    <w:sig w:usb0="800002BF" w:usb1="38CF7CFA" w:usb2="00000016" w:usb3="00000000" w:csb0="00040001" w:csb1="00000000"/>
  </w:font>
  <w:font w:name="方正楷体_GBK">
    <w:panose1 w:val="03000509000000000000"/>
    <w:charset w:val="86"/>
    <w:family w:val="script"/>
    <w:pitch w:val="default"/>
    <w:sig w:usb0="00000001" w:usb1="080E0000" w:usb2="00000000" w:usb3="00000000" w:csb0="00040000" w:csb1="00000000"/>
  </w:font>
  <w:font w:name="方正黑体简体">
    <w:altName w:val="Arial Unicode MS"/>
    <w:panose1 w:val="02000000000000000000"/>
    <w:charset w:val="86"/>
    <w:family w:val="auto"/>
    <w:pitch w:val="default"/>
    <w:sig w:usb0="00000000" w:usb1="00000000" w:usb2="00000012"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方正书宋简体">
    <w:altName w:val="宋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方正兰亭大黑简体">
    <w:altName w:val="黑体"/>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 w:name="黑体">
    <w:panose1 w:val="0201060003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6"/>
      <w:jc w:val="center"/>
      <w:rPr>
        <w:rFonts w:ascii="方正仿宋_GBK" w:eastAsia="方正仿宋_GBK"/>
        <w:sz w:val="21"/>
        <w:szCs w:val="21"/>
      </w:rPr>
    </w:pPr>
    <w:r>
      <w:rPr>
        <w:rFonts w:hint="eastAsia" w:ascii="方正仿宋_GBK" w:eastAsia="方正仿宋_GBK"/>
        <w:sz w:val="21"/>
        <w:szCs w:val="21"/>
      </w:rPr>
      <w:fldChar w:fldCharType="begin"/>
    </w:r>
    <w:r>
      <w:rPr>
        <w:rFonts w:hint="eastAsia" w:ascii="方正仿宋_GBK" w:eastAsia="方正仿宋_GBK"/>
        <w:sz w:val="21"/>
        <w:szCs w:val="21"/>
      </w:rPr>
      <w:instrText xml:space="preserve"> PAGE   \* MERGEFORMAT </w:instrText>
    </w:r>
    <w:r>
      <w:rPr>
        <w:rFonts w:hint="eastAsia" w:ascii="方正仿宋_GBK" w:eastAsia="方正仿宋_GBK"/>
        <w:sz w:val="21"/>
        <w:szCs w:val="21"/>
      </w:rPr>
      <w:fldChar w:fldCharType="separate"/>
    </w:r>
    <w:r>
      <w:rPr>
        <w:rFonts w:ascii="方正仿宋_GBK" w:eastAsia="方正仿宋_GBK"/>
        <w:sz w:val="21"/>
        <w:szCs w:val="21"/>
        <w:lang w:val="zh-CN"/>
      </w:rPr>
      <w:t>6</w:t>
    </w:r>
    <w:r>
      <w:rPr>
        <w:rFonts w:hint="eastAsia" w:ascii="方正仿宋_GBK" w:eastAsia="方正仿宋_GBK"/>
        <w:sz w:val="21"/>
        <w:szCs w:val="21"/>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6"/>
      <w:jc w:val="center"/>
      <w:rPr>
        <w:rFonts w:ascii="方正仿宋_GBK" w:eastAsia="方正仿宋_GBK"/>
        <w:sz w:val="21"/>
        <w:szCs w:val="21"/>
      </w:rPr>
    </w:pPr>
    <w:r>
      <w:rPr>
        <w:rFonts w:hint="eastAsia" w:ascii="方正仿宋_GBK" w:eastAsia="方正仿宋_GBK"/>
        <w:sz w:val="21"/>
        <w:szCs w:val="21"/>
      </w:rPr>
      <w:fldChar w:fldCharType="begin"/>
    </w:r>
    <w:r>
      <w:rPr>
        <w:rFonts w:hint="eastAsia" w:ascii="方正仿宋_GBK" w:eastAsia="方正仿宋_GBK"/>
        <w:sz w:val="21"/>
        <w:szCs w:val="21"/>
      </w:rPr>
      <w:instrText xml:space="preserve"> PAGE   \* MERGEFORMAT </w:instrText>
    </w:r>
    <w:r>
      <w:rPr>
        <w:rFonts w:hint="eastAsia" w:ascii="方正仿宋_GBK" w:eastAsia="方正仿宋_GBK"/>
        <w:sz w:val="21"/>
        <w:szCs w:val="21"/>
      </w:rPr>
      <w:fldChar w:fldCharType="separate"/>
    </w:r>
    <w:r>
      <w:rPr>
        <w:rFonts w:ascii="方正仿宋_GBK" w:eastAsia="方正仿宋_GBK"/>
        <w:sz w:val="21"/>
        <w:szCs w:val="21"/>
        <w:lang w:val="zh-CN"/>
      </w:rPr>
      <w:t>6</w:t>
    </w:r>
    <w:r>
      <w:rPr>
        <w:rFonts w:hint="eastAsia" w:ascii="方正仿宋_GBK" w:eastAsia="方正仿宋_GBK"/>
        <w:sz w:val="21"/>
        <w:szCs w:val="21"/>
      </w:rP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731282557">
    <w:nsid w:val="A2CC107D"/>
    <w:multiLevelType w:val="singleLevel"/>
    <w:tmpl w:val="A2CC107D"/>
    <w:lvl w:ilvl="0" w:tentative="1">
      <w:start w:val="3"/>
      <w:numFmt w:val="decimal"/>
      <w:suff w:val="nothing"/>
      <w:lvlText w:val="%1．"/>
      <w:lvlJc w:val="left"/>
      <w:rPr>
        <w:rFonts w:hint="default" w:ascii="Times New Roman" w:hAnsi="Times New Roman" w:cs="Times New Roman"/>
      </w:rPr>
    </w:lvl>
  </w:abstractNum>
  <w:num w:numId="1">
    <w:abstractNumId w:val="2731282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D44F6"/>
    <w:rsid w:val="0003389B"/>
    <w:rsid w:val="0004397F"/>
    <w:rsid w:val="00047077"/>
    <w:rsid w:val="0007349A"/>
    <w:rsid w:val="000A759B"/>
    <w:rsid w:val="000D1D66"/>
    <w:rsid w:val="000E1702"/>
    <w:rsid w:val="001219D2"/>
    <w:rsid w:val="001501B6"/>
    <w:rsid w:val="0015755D"/>
    <w:rsid w:val="001850D5"/>
    <w:rsid w:val="001C2151"/>
    <w:rsid w:val="001E5AF3"/>
    <w:rsid w:val="00252F5B"/>
    <w:rsid w:val="002862F8"/>
    <w:rsid w:val="002A34F8"/>
    <w:rsid w:val="002A4CDF"/>
    <w:rsid w:val="002D09FA"/>
    <w:rsid w:val="002F75D9"/>
    <w:rsid w:val="00304510"/>
    <w:rsid w:val="003140E0"/>
    <w:rsid w:val="00363F3A"/>
    <w:rsid w:val="00366A84"/>
    <w:rsid w:val="003679D1"/>
    <w:rsid w:val="003763A3"/>
    <w:rsid w:val="00381EED"/>
    <w:rsid w:val="0038787B"/>
    <w:rsid w:val="0039399C"/>
    <w:rsid w:val="003A2F4D"/>
    <w:rsid w:val="003B0BD9"/>
    <w:rsid w:val="003E46BF"/>
    <w:rsid w:val="003E5B98"/>
    <w:rsid w:val="003F37F4"/>
    <w:rsid w:val="00407681"/>
    <w:rsid w:val="00420721"/>
    <w:rsid w:val="0043550D"/>
    <w:rsid w:val="0047782F"/>
    <w:rsid w:val="004C748B"/>
    <w:rsid w:val="004D347D"/>
    <w:rsid w:val="004E6CE2"/>
    <w:rsid w:val="004F3490"/>
    <w:rsid w:val="00572840"/>
    <w:rsid w:val="0058352C"/>
    <w:rsid w:val="005A15D5"/>
    <w:rsid w:val="005A19F8"/>
    <w:rsid w:val="005C06A4"/>
    <w:rsid w:val="005C2CE8"/>
    <w:rsid w:val="005D77A3"/>
    <w:rsid w:val="005E4C8C"/>
    <w:rsid w:val="005E6597"/>
    <w:rsid w:val="005F396E"/>
    <w:rsid w:val="00663854"/>
    <w:rsid w:val="00670D53"/>
    <w:rsid w:val="006C6C82"/>
    <w:rsid w:val="006D44F6"/>
    <w:rsid w:val="007258AA"/>
    <w:rsid w:val="00757085"/>
    <w:rsid w:val="00783BEF"/>
    <w:rsid w:val="007A04C4"/>
    <w:rsid w:val="007A77F8"/>
    <w:rsid w:val="007B7393"/>
    <w:rsid w:val="007C661F"/>
    <w:rsid w:val="007D0033"/>
    <w:rsid w:val="007D705F"/>
    <w:rsid w:val="007F6A41"/>
    <w:rsid w:val="0080075F"/>
    <w:rsid w:val="008171B5"/>
    <w:rsid w:val="008313C7"/>
    <w:rsid w:val="00833624"/>
    <w:rsid w:val="008A2E4C"/>
    <w:rsid w:val="008B3E30"/>
    <w:rsid w:val="008C67D0"/>
    <w:rsid w:val="008C7A6F"/>
    <w:rsid w:val="008D359C"/>
    <w:rsid w:val="008D3D2B"/>
    <w:rsid w:val="008F2389"/>
    <w:rsid w:val="00916BF5"/>
    <w:rsid w:val="00922DFA"/>
    <w:rsid w:val="00924850"/>
    <w:rsid w:val="00945FA7"/>
    <w:rsid w:val="009A1281"/>
    <w:rsid w:val="009A6641"/>
    <w:rsid w:val="009F6E21"/>
    <w:rsid w:val="00A11CD1"/>
    <w:rsid w:val="00A240E5"/>
    <w:rsid w:val="00A32104"/>
    <w:rsid w:val="00A34459"/>
    <w:rsid w:val="00A50110"/>
    <w:rsid w:val="00A7453F"/>
    <w:rsid w:val="00AA1FBE"/>
    <w:rsid w:val="00AA1FD4"/>
    <w:rsid w:val="00AC3176"/>
    <w:rsid w:val="00AE1DF9"/>
    <w:rsid w:val="00B330D9"/>
    <w:rsid w:val="00B44499"/>
    <w:rsid w:val="00B46B90"/>
    <w:rsid w:val="00B67A06"/>
    <w:rsid w:val="00BD4F41"/>
    <w:rsid w:val="00BF22AB"/>
    <w:rsid w:val="00C047CF"/>
    <w:rsid w:val="00C246B5"/>
    <w:rsid w:val="00C333F3"/>
    <w:rsid w:val="00C5542B"/>
    <w:rsid w:val="00C633E2"/>
    <w:rsid w:val="00C74C22"/>
    <w:rsid w:val="00C90538"/>
    <w:rsid w:val="00CB0D3C"/>
    <w:rsid w:val="00CE5AB4"/>
    <w:rsid w:val="00CF0D20"/>
    <w:rsid w:val="00D126DA"/>
    <w:rsid w:val="00D13AA4"/>
    <w:rsid w:val="00D73255"/>
    <w:rsid w:val="00D7346F"/>
    <w:rsid w:val="00DA1E38"/>
    <w:rsid w:val="00E9400D"/>
    <w:rsid w:val="00EA55DA"/>
    <w:rsid w:val="00F3146F"/>
    <w:rsid w:val="00F324D7"/>
    <w:rsid w:val="00F44AFC"/>
    <w:rsid w:val="00F655C4"/>
    <w:rsid w:val="00F67DBB"/>
    <w:rsid w:val="00F77888"/>
    <w:rsid w:val="00F917EF"/>
    <w:rsid w:val="00FA192D"/>
    <w:rsid w:val="00FC7382"/>
    <w:rsid w:val="00FF679D"/>
    <w:rsid w:val="0554131A"/>
    <w:rsid w:val="09FF48F8"/>
    <w:rsid w:val="0B0E16B7"/>
    <w:rsid w:val="0E9020D5"/>
    <w:rsid w:val="0E985306"/>
    <w:rsid w:val="0F29188B"/>
    <w:rsid w:val="104F2B77"/>
    <w:rsid w:val="122B0D03"/>
    <w:rsid w:val="16C43244"/>
    <w:rsid w:val="174B51BA"/>
    <w:rsid w:val="1763445D"/>
    <w:rsid w:val="18191A99"/>
    <w:rsid w:val="1A43532F"/>
    <w:rsid w:val="1A9968B7"/>
    <w:rsid w:val="1B547536"/>
    <w:rsid w:val="1B8F0F39"/>
    <w:rsid w:val="1C243C3B"/>
    <w:rsid w:val="1CF518BF"/>
    <w:rsid w:val="22795278"/>
    <w:rsid w:val="249C22BC"/>
    <w:rsid w:val="29CD6452"/>
    <w:rsid w:val="2A3040F2"/>
    <w:rsid w:val="2A6D5CD5"/>
    <w:rsid w:val="2BA42D25"/>
    <w:rsid w:val="2CEC0E67"/>
    <w:rsid w:val="2D9B0939"/>
    <w:rsid w:val="2ED41840"/>
    <w:rsid w:val="2EF06BB9"/>
    <w:rsid w:val="318B00AB"/>
    <w:rsid w:val="31BA4526"/>
    <w:rsid w:val="33764CF4"/>
    <w:rsid w:val="37972EC4"/>
    <w:rsid w:val="392936C3"/>
    <w:rsid w:val="39590AA2"/>
    <w:rsid w:val="3A75190E"/>
    <w:rsid w:val="3AEC6A1B"/>
    <w:rsid w:val="3C686CB1"/>
    <w:rsid w:val="3E293B74"/>
    <w:rsid w:val="3E553A4B"/>
    <w:rsid w:val="404149EC"/>
    <w:rsid w:val="424109D0"/>
    <w:rsid w:val="42794280"/>
    <w:rsid w:val="43E50375"/>
    <w:rsid w:val="46AA6146"/>
    <w:rsid w:val="47052F02"/>
    <w:rsid w:val="4CD72B42"/>
    <w:rsid w:val="4D485EF1"/>
    <w:rsid w:val="4E5D3B79"/>
    <w:rsid w:val="4FA17ECF"/>
    <w:rsid w:val="4FDD1357"/>
    <w:rsid w:val="509F0C50"/>
    <w:rsid w:val="50BA17DA"/>
    <w:rsid w:val="53CF0A33"/>
    <w:rsid w:val="542E4F02"/>
    <w:rsid w:val="548A49DB"/>
    <w:rsid w:val="5771684A"/>
    <w:rsid w:val="5ABC71EA"/>
    <w:rsid w:val="5D204456"/>
    <w:rsid w:val="5F06162C"/>
    <w:rsid w:val="5F337B7D"/>
    <w:rsid w:val="5F7A22AF"/>
    <w:rsid w:val="60422359"/>
    <w:rsid w:val="62137975"/>
    <w:rsid w:val="62EE5AE3"/>
    <w:rsid w:val="663A1D01"/>
    <w:rsid w:val="66A01F9C"/>
    <w:rsid w:val="66B436D4"/>
    <w:rsid w:val="67AC2BC3"/>
    <w:rsid w:val="68FC5484"/>
    <w:rsid w:val="6A5D1E44"/>
    <w:rsid w:val="6B37527B"/>
    <w:rsid w:val="6B7B300B"/>
    <w:rsid w:val="6BE54570"/>
    <w:rsid w:val="6D1E2B18"/>
    <w:rsid w:val="6E4E6EF9"/>
    <w:rsid w:val="6EE93C8D"/>
    <w:rsid w:val="6F9036CD"/>
    <w:rsid w:val="704E5E96"/>
    <w:rsid w:val="70B52C9E"/>
    <w:rsid w:val="71162789"/>
    <w:rsid w:val="712815AC"/>
    <w:rsid w:val="71942697"/>
    <w:rsid w:val="73F01BBC"/>
    <w:rsid w:val="74F85FDD"/>
    <w:rsid w:val="77393B43"/>
    <w:rsid w:val="78592FD4"/>
    <w:rsid w:val="7AC81708"/>
    <w:rsid w:val="7BBF2283"/>
    <w:rsid w:val="7BFF6A09"/>
  </w:rsid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9">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Body Text"/>
    <w:basedOn w:val="1"/>
    <w:qFormat/>
    <w:uiPriority w:val="1"/>
    <w:rPr>
      <w:sz w:val="32"/>
      <w:szCs w:val="32"/>
    </w:rPr>
  </w:style>
  <w:style w:type="paragraph" w:styleId="5">
    <w:name w:val="Balloon Text"/>
    <w:basedOn w:val="1"/>
    <w:link w:val="18"/>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10">
    <w:name w:val="page number"/>
    <w:basedOn w:val="9"/>
    <w:unhideWhenUsed/>
    <w:qFormat/>
    <w:uiPriority w:val="0"/>
  </w:style>
  <w:style w:type="paragraph" w:customStyle="1" w:styleId="12">
    <w:name w:val="列出段落1"/>
    <w:basedOn w:val="1"/>
    <w:qFormat/>
    <w:uiPriority w:val="34"/>
    <w:pPr>
      <w:ind w:firstLine="420" w:firstLineChars="200"/>
    </w:pPr>
  </w:style>
  <w:style w:type="paragraph" w:customStyle="1" w:styleId="13">
    <w:name w:val="p12"/>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4">
    <w:name w:val="页眉 Char"/>
    <w:basedOn w:val="9"/>
    <w:link w:val="7"/>
    <w:semiHidden/>
    <w:qFormat/>
    <w:uiPriority w:val="99"/>
    <w:rPr>
      <w:sz w:val="18"/>
      <w:szCs w:val="18"/>
    </w:rPr>
  </w:style>
  <w:style w:type="character" w:customStyle="1" w:styleId="15">
    <w:name w:val="页脚 Char"/>
    <w:basedOn w:val="9"/>
    <w:link w:val="6"/>
    <w:qFormat/>
    <w:uiPriority w:val="99"/>
    <w:rPr>
      <w:sz w:val="18"/>
      <w:szCs w:val="18"/>
    </w:rPr>
  </w:style>
  <w:style w:type="character" w:customStyle="1" w:styleId="16">
    <w:name w:val="s1"/>
    <w:basedOn w:val="9"/>
    <w:qFormat/>
    <w:uiPriority w:val="0"/>
  </w:style>
  <w:style w:type="character" w:customStyle="1" w:styleId="17">
    <w:name w:val="占位符文本1"/>
    <w:basedOn w:val="9"/>
    <w:semiHidden/>
    <w:qFormat/>
    <w:uiPriority w:val="99"/>
    <w:rPr>
      <w:color w:val="808080"/>
    </w:rPr>
  </w:style>
  <w:style w:type="character" w:customStyle="1" w:styleId="18">
    <w:name w:val="批注框文本 Char"/>
    <w:basedOn w:val="9"/>
    <w:link w:val="5"/>
    <w:semiHidden/>
    <w:qFormat/>
    <w:uiPriority w:val="99"/>
    <w:rPr>
      <w:sz w:val="18"/>
      <w:szCs w:val="18"/>
    </w:rPr>
  </w:style>
  <w:style w:type="paragraph" w:customStyle="1" w:styleId="19">
    <w:name w:val="段"/>
    <w:next w:val="1"/>
    <w:qFormat/>
    <w:uiPriority w:val="0"/>
    <w:pPr>
      <w:autoSpaceDE w:val="0"/>
      <w:autoSpaceDN w:val="0"/>
      <w:ind w:firstLine="200"/>
      <w:jc w:val="both"/>
    </w:pPr>
    <w:rPr>
      <w:rFonts w:ascii="宋体" w:hAnsi="Times New Roman" w:eastAsia="宋体" w:cs="Times New Roman"/>
      <w:sz w:val="21"/>
      <w:szCs w:val="22"/>
      <w:lang w:val="en-US" w:eastAsia="zh-CN" w:bidi="ar-SA"/>
    </w:rPr>
  </w:style>
  <w:style w:type="paragraph" w:customStyle="1" w:styleId="20">
    <w:name w:val="南京正文"/>
    <w:basedOn w:val="1"/>
    <w:qFormat/>
    <w:uiPriority w:val="0"/>
    <w:pPr>
      <w:widowControl/>
      <w:spacing w:after="200" w:line="560" w:lineRule="exact"/>
      <w:ind w:firstLine="200" w:firstLineChars="200"/>
      <w:jc w:val="left"/>
    </w:pPr>
    <w:rPr>
      <w:rFonts w:eastAsia="仿宋"/>
      <w:kern w:val="0"/>
      <w:sz w:val="32"/>
      <w:szCs w:val="28"/>
      <w:lang w:val="zh-CN" w:eastAsia="en-US" w:bidi="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7C3910-91C8-49AC-BF1A-73A0A144B1E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770</Words>
  <Characters>4393</Characters>
  <Lines>36</Lines>
  <Paragraphs>10</Paragraphs>
  <ScaleCrop>false</ScaleCrop>
  <LinksUpToDate>false</LinksUpToDate>
  <CharactersWithSpaces>5153</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2020-07-17T08:51:00Z</dcterms:created>
  <dc:creator>管洪涛</dc:creator>
  <cp:lastModifiedBy>Administrator</cp:lastModifiedBy>
  <cp:lastPrinted>2026-06-01T02:58:00Z</cp:lastPrinted>
  <dcterms:modified xsi:type="dcterms:W3CDTF">2026-10-19T01:39:04Z</dcterms:modified>
  <dc:title>南京市公安局地铁分局整体绩效评价报告</dc:title>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y fmtid="{D5CDD505-2E9C-101B-9397-08002B2CF9AE}" pid="3" name="ICV">
    <vt:lpwstr>45435BD4AF0D4B4BB7D48D12402DC598</vt:lpwstr>
  </property>
</Properties>
</file>